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ind w:leftChars="0"/>
        <w:jc w:val="center"/>
        <w:rPr>
          <w:rFonts w:hint="eastAsia" w:ascii="宋体" w:hAnsi="宋体" w:eastAsia="宋体" w:cs="宋体"/>
          <w:sz w:val="48"/>
          <w:szCs w:val="48"/>
          <w:lang w:val="en-US" w:eastAsia="zh-CN"/>
        </w:rPr>
      </w:pPr>
    </w:p>
    <w:p>
      <w:pPr>
        <w:numPr>
          <w:ilvl w:val="0"/>
          <w:numId w:val="0"/>
        </w:numPr>
        <w:ind w:leftChars="0"/>
        <w:jc w:val="center"/>
        <w:rPr>
          <w:rFonts w:hint="eastAsia" w:ascii="宋体" w:hAnsi="宋体" w:eastAsia="宋体" w:cs="宋体"/>
          <w:sz w:val="48"/>
          <w:szCs w:val="48"/>
          <w:lang w:val="en-US" w:eastAsia="zh-CN"/>
        </w:rPr>
      </w:pPr>
    </w:p>
    <w:p>
      <w:pPr>
        <w:numPr>
          <w:ilvl w:val="0"/>
          <w:numId w:val="0"/>
        </w:numPr>
        <w:ind w:leftChars="0"/>
        <w:jc w:val="center"/>
        <w:rPr>
          <w:rFonts w:hint="eastAsia" w:ascii="宋体" w:hAnsi="宋体" w:eastAsia="宋体" w:cs="宋体"/>
          <w:sz w:val="48"/>
          <w:szCs w:val="48"/>
          <w:lang w:val="en-US" w:eastAsia="zh-CN"/>
        </w:rPr>
      </w:pPr>
    </w:p>
    <w:p>
      <w:pPr>
        <w:numPr>
          <w:ilvl w:val="0"/>
          <w:numId w:val="0"/>
        </w:numPr>
        <w:ind w:leftChars="0"/>
        <w:jc w:val="center"/>
        <w:rPr>
          <w:rFonts w:hint="eastAsia" w:ascii="宋体" w:hAnsi="宋体" w:eastAsia="宋体" w:cs="宋体"/>
          <w:sz w:val="48"/>
          <w:szCs w:val="48"/>
          <w:lang w:val="en-US" w:eastAsia="zh-CN"/>
        </w:rPr>
      </w:pPr>
      <w:r>
        <w:rPr>
          <w:rFonts w:hint="eastAsia" w:ascii="宋体" w:hAnsi="宋体" w:eastAsia="宋体" w:cs="宋体"/>
          <w:sz w:val="48"/>
          <w:szCs w:val="48"/>
          <w:lang w:val="en-US" w:eastAsia="zh-CN"/>
        </w:rPr>
        <w:t>重庆博杰能源有限公司</w:t>
      </w:r>
    </w:p>
    <w:p>
      <w:pPr>
        <w:numPr>
          <w:ilvl w:val="0"/>
          <w:numId w:val="0"/>
        </w:numPr>
        <w:ind w:leftChars="0"/>
        <w:jc w:val="cente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LNG运输第三方物流企业</w:t>
      </w:r>
    </w:p>
    <w:p>
      <w:pPr>
        <w:numPr>
          <w:ilvl w:val="0"/>
          <w:numId w:val="0"/>
        </w:numPr>
        <w:ind w:leftChars="0"/>
        <w:jc w:val="both"/>
        <w:rPr>
          <w:rFonts w:hint="eastAsia" w:ascii="宋体" w:hAnsi="宋体" w:eastAsia="宋体" w:cs="宋体"/>
          <w:sz w:val="32"/>
          <w:szCs w:val="32"/>
          <w:lang w:val="en-US" w:eastAsia="zh-CN"/>
        </w:rPr>
      </w:pPr>
    </w:p>
    <w:p>
      <w:pPr>
        <w:numPr>
          <w:ilvl w:val="0"/>
          <w:numId w:val="0"/>
        </w:numPr>
        <w:ind w:leftChars="0"/>
        <w:jc w:val="center"/>
        <w:rPr>
          <w:rFonts w:hint="eastAsia" w:ascii="宋体" w:hAnsi="宋体" w:eastAsia="宋体" w:cs="宋体"/>
          <w:sz w:val="32"/>
          <w:szCs w:val="32"/>
          <w:lang w:val="en-US" w:eastAsia="zh-CN"/>
        </w:rPr>
      </w:pPr>
    </w:p>
    <w:p>
      <w:pPr>
        <w:numPr>
          <w:ilvl w:val="0"/>
          <w:numId w:val="0"/>
        </w:numPr>
        <w:ind w:leftChars="0"/>
        <w:jc w:val="center"/>
        <w:rPr>
          <w:rFonts w:hint="eastAsia" w:ascii="宋体" w:hAnsi="宋体" w:eastAsia="宋体" w:cs="宋体"/>
          <w:sz w:val="84"/>
          <w:szCs w:val="84"/>
          <w:lang w:val="en-US" w:eastAsia="zh-CN"/>
        </w:rPr>
      </w:pPr>
      <w:r>
        <w:rPr>
          <w:rFonts w:hint="eastAsia" w:ascii="宋体" w:hAnsi="宋体" w:eastAsia="宋体" w:cs="宋体"/>
          <w:sz w:val="84"/>
          <w:szCs w:val="84"/>
          <w:lang w:val="en-US" w:eastAsia="zh-CN"/>
        </w:rPr>
        <w:t>招标文件</w:t>
      </w:r>
    </w:p>
    <w:p>
      <w:pPr>
        <w:numPr>
          <w:ilvl w:val="0"/>
          <w:numId w:val="0"/>
        </w:numPr>
        <w:ind w:leftChars="0"/>
        <w:jc w:val="cente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（招标编号：CQBJ-2023-0825）</w:t>
      </w:r>
    </w:p>
    <w:p>
      <w:pPr>
        <w:numPr>
          <w:ilvl w:val="0"/>
          <w:numId w:val="0"/>
        </w:numPr>
        <w:ind w:leftChars="0"/>
        <w:jc w:val="both"/>
        <w:rPr>
          <w:rFonts w:hint="eastAsia" w:ascii="宋体" w:hAnsi="宋体" w:eastAsia="宋体" w:cs="宋体"/>
          <w:sz w:val="32"/>
          <w:szCs w:val="32"/>
          <w:lang w:val="en-US" w:eastAsia="zh-CN"/>
        </w:rPr>
      </w:pPr>
    </w:p>
    <w:p>
      <w:pPr>
        <w:numPr>
          <w:ilvl w:val="0"/>
          <w:numId w:val="0"/>
        </w:numPr>
        <w:ind w:leftChars="0"/>
        <w:jc w:val="center"/>
        <w:rPr>
          <w:rFonts w:hint="eastAsia" w:ascii="宋体" w:hAnsi="宋体" w:eastAsia="宋体" w:cs="宋体"/>
          <w:sz w:val="32"/>
          <w:szCs w:val="32"/>
          <w:lang w:val="en-US" w:eastAsia="zh-CN"/>
        </w:rPr>
      </w:pPr>
    </w:p>
    <w:p>
      <w:pPr>
        <w:numPr>
          <w:ilvl w:val="0"/>
          <w:numId w:val="0"/>
        </w:numPr>
        <w:ind w:leftChars="0"/>
        <w:jc w:val="cente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招标人：重庆博杰能源有限公司</w:t>
      </w:r>
    </w:p>
    <w:p>
      <w:pPr>
        <w:numPr>
          <w:ilvl w:val="0"/>
          <w:numId w:val="0"/>
        </w:numPr>
        <w:ind w:leftChars="0"/>
        <w:jc w:val="both"/>
        <w:rPr>
          <w:rFonts w:hint="eastAsia" w:ascii="宋体" w:hAnsi="宋体" w:eastAsia="宋体" w:cs="宋体"/>
          <w:sz w:val="32"/>
          <w:szCs w:val="32"/>
          <w:lang w:val="en-US" w:eastAsia="zh-CN"/>
        </w:rPr>
      </w:pPr>
    </w:p>
    <w:p>
      <w:pPr>
        <w:numPr>
          <w:ilvl w:val="0"/>
          <w:numId w:val="0"/>
        </w:numPr>
        <w:ind w:leftChars="0"/>
        <w:jc w:val="center"/>
        <w:rPr>
          <w:rFonts w:hint="eastAsia" w:ascii="宋体" w:hAnsi="宋体" w:eastAsia="宋体" w:cs="宋体"/>
          <w:sz w:val="32"/>
          <w:szCs w:val="32"/>
          <w:lang w:val="en-US" w:eastAsia="zh-CN"/>
        </w:rPr>
      </w:pPr>
    </w:p>
    <w:p>
      <w:pPr>
        <w:numPr>
          <w:ilvl w:val="0"/>
          <w:numId w:val="0"/>
        </w:numPr>
        <w:ind w:leftChars="0"/>
        <w:jc w:val="center"/>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lang w:val="en-US" w:eastAsia="zh-CN"/>
        </w:rPr>
        <w:t>2023年8月</w:t>
      </w:r>
    </w:p>
    <w:p>
      <w:pPr>
        <w:numPr>
          <w:ilvl w:val="0"/>
          <w:numId w:val="0"/>
        </w:numPr>
        <w:ind w:leftChars="0"/>
        <w:jc w:val="center"/>
        <w:rPr>
          <w:rFonts w:hint="eastAsia" w:ascii="宋体" w:hAnsi="宋体" w:eastAsia="宋体" w:cs="宋体"/>
          <w:b w:val="0"/>
          <w:bCs w:val="0"/>
          <w:sz w:val="32"/>
          <w:szCs w:val="32"/>
          <w:lang w:val="en-US" w:eastAsia="zh-CN"/>
        </w:rPr>
      </w:pPr>
    </w:p>
    <w:p>
      <w:pPr>
        <w:numPr>
          <w:ilvl w:val="0"/>
          <w:numId w:val="0"/>
        </w:numPr>
        <w:ind w:leftChars="0"/>
        <w:jc w:val="center"/>
        <w:rPr>
          <w:rFonts w:hint="eastAsia" w:ascii="宋体" w:hAnsi="宋体" w:eastAsia="宋体" w:cs="宋体"/>
          <w:b w:val="0"/>
          <w:bCs w:val="0"/>
          <w:sz w:val="48"/>
          <w:szCs w:val="48"/>
          <w:lang w:val="en-US" w:eastAsia="zh-CN"/>
        </w:rPr>
      </w:pPr>
    </w:p>
    <w:p>
      <w:pPr>
        <w:numPr>
          <w:ilvl w:val="0"/>
          <w:numId w:val="0"/>
        </w:numPr>
        <w:ind w:leftChars="0"/>
        <w:jc w:val="center"/>
        <w:rPr>
          <w:rFonts w:hint="eastAsia" w:ascii="宋体" w:hAnsi="宋体" w:eastAsia="宋体" w:cs="宋体"/>
          <w:b w:val="0"/>
          <w:bCs w:val="0"/>
          <w:sz w:val="48"/>
          <w:szCs w:val="48"/>
          <w:lang w:val="en-US" w:eastAsia="zh-CN"/>
        </w:rPr>
      </w:pPr>
    </w:p>
    <w:p>
      <w:pPr>
        <w:numPr>
          <w:ilvl w:val="0"/>
          <w:numId w:val="0"/>
        </w:numPr>
        <w:ind w:leftChars="0"/>
        <w:jc w:val="center"/>
        <w:rPr>
          <w:rFonts w:hint="eastAsia" w:ascii="宋体" w:hAnsi="宋体" w:eastAsia="宋体" w:cs="宋体"/>
          <w:b w:val="0"/>
          <w:bCs w:val="0"/>
          <w:sz w:val="48"/>
          <w:szCs w:val="48"/>
          <w:lang w:val="en-US" w:eastAsia="zh-CN"/>
        </w:rPr>
      </w:pPr>
    </w:p>
    <w:p>
      <w:pPr>
        <w:numPr>
          <w:ilvl w:val="0"/>
          <w:numId w:val="0"/>
        </w:numPr>
        <w:ind w:leftChars="0"/>
        <w:jc w:val="center"/>
        <w:rPr>
          <w:rFonts w:hint="eastAsia" w:ascii="宋体" w:hAnsi="宋体" w:eastAsia="宋体" w:cs="宋体"/>
          <w:b w:val="0"/>
          <w:bCs w:val="0"/>
          <w:sz w:val="48"/>
          <w:szCs w:val="48"/>
          <w:lang w:val="en-US" w:eastAsia="zh-CN"/>
        </w:rPr>
      </w:pPr>
    </w:p>
    <w:p>
      <w:pPr>
        <w:numPr>
          <w:ilvl w:val="0"/>
          <w:numId w:val="0"/>
        </w:numPr>
        <w:ind w:leftChars="0"/>
        <w:jc w:val="center"/>
        <w:rPr>
          <w:rFonts w:hint="eastAsia" w:ascii="宋体" w:hAnsi="宋体" w:eastAsia="宋体" w:cs="宋体"/>
          <w:b w:val="0"/>
          <w:bCs w:val="0"/>
          <w:sz w:val="48"/>
          <w:szCs w:val="48"/>
          <w:lang w:val="en-US" w:eastAsia="zh-CN"/>
        </w:rPr>
      </w:pPr>
    </w:p>
    <w:p>
      <w:pPr>
        <w:numPr>
          <w:ilvl w:val="0"/>
          <w:numId w:val="0"/>
        </w:numPr>
        <w:ind w:leftChars="0"/>
        <w:jc w:val="center"/>
        <w:rPr>
          <w:rFonts w:hint="eastAsia" w:ascii="宋体" w:hAnsi="宋体" w:eastAsia="宋体" w:cs="宋体"/>
          <w:b w:val="0"/>
          <w:bCs w:val="0"/>
          <w:sz w:val="48"/>
          <w:szCs w:val="48"/>
          <w:lang w:val="en-US" w:eastAsia="zh-CN"/>
        </w:rPr>
      </w:pPr>
    </w:p>
    <w:p>
      <w:pPr>
        <w:numPr>
          <w:ilvl w:val="0"/>
          <w:numId w:val="0"/>
        </w:numPr>
        <w:ind w:leftChars="0"/>
        <w:jc w:val="center"/>
        <w:rPr>
          <w:rFonts w:hint="eastAsia" w:ascii="宋体" w:hAnsi="宋体" w:eastAsia="宋体" w:cs="宋体"/>
          <w:b w:val="0"/>
          <w:bCs w:val="0"/>
          <w:sz w:val="48"/>
          <w:szCs w:val="48"/>
          <w:lang w:val="en-US" w:eastAsia="zh-CN"/>
        </w:rPr>
      </w:pPr>
    </w:p>
    <w:p>
      <w:pPr>
        <w:numPr>
          <w:ilvl w:val="0"/>
          <w:numId w:val="0"/>
        </w:numPr>
        <w:ind w:leftChars="0"/>
        <w:jc w:val="center"/>
        <w:rPr>
          <w:rFonts w:hint="eastAsia" w:ascii="宋体" w:hAnsi="宋体" w:eastAsia="宋体" w:cs="宋体"/>
          <w:b w:val="0"/>
          <w:bCs w:val="0"/>
          <w:sz w:val="48"/>
          <w:szCs w:val="48"/>
          <w:lang w:val="en-US" w:eastAsia="zh-CN"/>
        </w:rPr>
      </w:pPr>
      <w:r>
        <w:rPr>
          <w:rFonts w:hint="eastAsia" w:ascii="宋体" w:hAnsi="宋体" w:eastAsia="宋体" w:cs="宋体"/>
          <w:b w:val="0"/>
          <w:bCs w:val="0"/>
          <w:sz w:val="48"/>
          <w:szCs w:val="48"/>
          <w:lang w:val="en-US" w:eastAsia="zh-CN"/>
        </w:rPr>
        <w:t>目  录</w:t>
      </w:r>
    </w:p>
    <w:p>
      <w:pPr>
        <w:numPr>
          <w:ilvl w:val="0"/>
          <w:numId w:val="1"/>
        </w:numPr>
        <w:ind w:leftChars="0"/>
        <w:jc w:val="both"/>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lang w:val="en-US" w:eastAsia="zh-CN"/>
        </w:rPr>
        <w:t>招标文件前附表</w:t>
      </w:r>
    </w:p>
    <w:p>
      <w:pPr>
        <w:numPr>
          <w:ilvl w:val="0"/>
          <w:numId w:val="1"/>
        </w:numPr>
        <w:ind w:leftChars="0"/>
        <w:jc w:val="both"/>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lang w:val="en-US" w:eastAsia="zh-CN"/>
        </w:rPr>
        <w:t>项目概况</w:t>
      </w:r>
    </w:p>
    <w:p>
      <w:pPr>
        <w:numPr>
          <w:ilvl w:val="0"/>
          <w:numId w:val="1"/>
        </w:numPr>
        <w:ind w:leftChars="0"/>
        <w:jc w:val="both"/>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lang w:val="en-US" w:eastAsia="zh-CN"/>
        </w:rPr>
        <w:t>招标要求</w:t>
      </w:r>
    </w:p>
    <w:p>
      <w:pPr>
        <w:numPr>
          <w:ilvl w:val="0"/>
          <w:numId w:val="1"/>
        </w:numPr>
        <w:ind w:leftChars="0"/>
        <w:jc w:val="both"/>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lang w:val="en-US" w:eastAsia="zh-CN"/>
        </w:rPr>
        <w:t>标书制作</w:t>
      </w:r>
    </w:p>
    <w:p>
      <w:pPr>
        <w:numPr>
          <w:ilvl w:val="0"/>
          <w:numId w:val="1"/>
        </w:numPr>
        <w:ind w:leftChars="0"/>
        <w:jc w:val="both"/>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lang w:val="en-US" w:eastAsia="zh-CN"/>
        </w:rPr>
        <w:t>评标方法</w:t>
      </w:r>
    </w:p>
    <w:p>
      <w:pPr>
        <w:numPr>
          <w:ilvl w:val="0"/>
          <w:numId w:val="1"/>
        </w:numPr>
        <w:ind w:leftChars="0"/>
        <w:jc w:val="both"/>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lang w:val="en-US" w:eastAsia="zh-CN"/>
        </w:rPr>
        <w:t>液化天然气（LNG）运输协议</w:t>
      </w:r>
    </w:p>
    <w:p>
      <w:pPr>
        <w:numPr>
          <w:ilvl w:val="0"/>
          <w:numId w:val="0"/>
        </w:numPr>
        <w:jc w:val="both"/>
        <w:rPr>
          <w:rFonts w:hint="eastAsia" w:ascii="宋体" w:hAnsi="宋体" w:eastAsia="宋体" w:cs="宋体"/>
          <w:b w:val="0"/>
          <w:bCs w:val="0"/>
          <w:sz w:val="32"/>
          <w:szCs w:val="32"/>
          <w:lang w:val="en-US" w:eastAsia="zh-CN"/>
        </w:rPr>
      </w:pPr>
    </w:p>
    <w:p>
      <w:pPr>
        <w:widowControl w:val="0"/>
        <w:numPr>
          <w:ilvl w:val="0"/>
          <w:numId w:val="0"/>
        </w:numPr>
        <w:jc w:val="both"/>
        <w:rPr>
          <w:rFonts w:hint="eastAsia" w:ascii="宋体" w:hAnsi="宋体" w:eastAsia="宋体" w:cs="宋体"/>
          <w:b w:val="0"/>
          <w:bCs w:val="0"/>
          <w:sz w:val="32"/>
          <w:szCs w:val="32"/>
          <w:lang w:val="en-US" w:eastAsia="zh-CN"/>
        </w:rPr>
      </w:pPr>
    </w:p>
    <w:p>
      <w:pPr>
        <w:widowControl w:val="0"/>
        <w:numPr>
          <w:ilvl w:val="0"/>
          <w:numId w:val="0"/>
        </w:numPr>
        <w:jc w:val="both"/>
        <w:rPr>
          <w:rFonts w:hint="eastAsia" w:ascii="宋体" w:hAnsi="宋体" w:eastAsia="宋体" w:cs="宋体"/>
          <w:b w:val="0"/>
          <w:bCs w:val="0"/>
          <w:sz w:val="32"/>
          <w:szCs w:val="32"/>
          <w:lang w:val="en-US" w:eastAsia="zh-CN"/>
        </w:rPr>
      </w:pPr>
    </w:p>
    <w:p>
      <w:pPr>
        <w:widowControl w:val="0"/>
        <w:numPr>
          <w:ilvl w:val="0"/>
          <w:numId w:val="0"/>
        </w:numPr>
        <w:jc w:val="both"/>
        <w:rPr>
          <w:rFonts w:hint="eastAsia" w:ascii="宋体" w:hAnsi="宋体" w:eastAsia="宋体" w:cs="宋体"/>
          <w:b w:val="0"/>
          <w:bCs w:val="0"/>
          <w:sz w:val="32"/>
          <w:szCs w:val="32"/>
          <w:lang w:val="en-US" w:eastAsia="zh-CN"/>
        </w:rPr>
      </w:pPr>
    </w:p>
    <w:p>
      <w:pPr>
        <w:widowControl w:val="0"/>
        <w:numPr>
          <w:ilvl w:val="0"/>
          <w:numId w:val="0"/>
        </w:numPr>
        <w:jc w:val="both"/>
        <w:rPr>
          <w:rFonts w:hint="eastAsia" w:ascii="宋体" w:hAnsi="宋体" w:eastAsia="宋体" w:cs="宋体"/>
          <w:b w:val="0"/>
          <w:bCs w:val="0"/>
          <w:sz w:val="32"/>
          <w:szCs w:val="32"/>
          <w:lang w:val="en-US" w:eastAsia="zh-CN"/>
        </w:rPr>
      </w:pPr>
    </w:p>
    <w:p>
      <w:pPr>
        <w:widowControl w:val="0"/>
        <w:numPr>
          <w:ilvl w:val="0"/>
          <w:numId w:val="0"/>
        </w:numPr>
        <w:jc w:val="both"/>
        <w:rPr>
          <w:rFonts w:hint="eastAsia" w:ascii="宋体" w:hAnsi="宋体" w:eastAsia="宋体" w:cs="宋体"/>
          <w:b w:val="0"/>
          <w:bCs w:val="0"/>
          <w:sz w:val="32"/>
          <w:szCs w:val="32"/>
          <w:lang w:val="en-US" w:eastAsia="zh-CN"/>
        </w:rPr>
      </w:pPr>
    </w:p>
    <w:p>
      <w:pPr>
        <w:widowControl w:val="0"/>
        <w:numPr>
          <w:ilvl w:val="0"/>
          <w:numId w:val="0"/>
        </w:numPr>
        <w:jc w:val="both"/>
        <w:rPr>
          <w:rFonts w:hint="eastAsia" w:ascii="宋体" w:hAnsi="宋体" w:eastAsia="宋体" w:cs="宋体"/>
          <w:b w:val="0"/>
          <w:bCs w:val="0"/>
          <w:sz w:val="32"/>
          <w:szCs w:val="32"/>
          <w:lang w:val="en-US" w:eastAsia="zh-CN"/>
        </w:rPr>
      </w:pPr>
    </w:p>
    <w:p>
      <w:pPr>
        <w:widowControl w:val="0"/>
        <w:numPr>
          <w:ilvl w:val="0"/>
          <w:numId w:val="0"/>
        </w:numPr>
        <w:jc w:val="both"/>
        <w:rPr>
          <w:rFonts w:hint="eastAsia" w:ascii="宋体" w:hAnsi="宋体" w:eastAsia="宋体" w:cs="宋体"/>
          <w:b w:val="0"/>
          <w:bCs w:val="0"/>
          <w:sz w:val="32"/>
          <w:szCs w:val="32"/>
          <w:lang w:val="en-US" w:eastAsia="zh-CN"/>
        </w:rPr>
      </w:pPr>
    </w:p>
    <w:p>
      <w:pPr>
        <w:widowControl w:val="0"/>
        <w:numPr>
          <w:ilvl w:val="0"/>
          <w:numId w:val="0"/>
        </w:numPr>
        <w:jc w:val="both"/>
        <w:rPr>
          <w:rFonts w:hint="eastAsia" w:ascii="宋体" w:hAnsi="宋体" w:eastAsia="宋体" w:cs="宋体"/>
          <w:b w:val="0"/>
          <w:bCs w:val="0"/>
          <w:sz w:val="32"/>
          <w:szCs w:val="32"/>
          <w:lang w:val="en-US" w:eastAsia="zh-CN"/>
        </w:rPr>
      </w:pPr>
    </w:p>
    <w:p>
      <w:pPr>
        <w:widowControl w:val="0"/>
        <w:numPr>
          <w:ilvl w:val="0"/>
          <w:numId w:val="0"/>
        </w:numPr>
        <w:jc w:val="both"/>
        <w:rPr>
          <w:rFonts w:hint="eastAsia" w:ascii="宋体" w:hAnsi="宋体" w:eastAsia="宋体" w:cs="宋体"/>
          <w:b w:val="0"/>
          <w:bCs w:val="0"/>
          <w:sz w:val="32"/>
          <w:szCs w:val="32"/>
          <w:lang w:val="en-US" w:eastAsia="zh-CN"/>
        </w:rPr>
      </w:pPr>
    </w:p>
    <w:p>
      <w:pPr>
        <w:widowControl w:val="0"/>
        <w:numPr>
          <w:ilvl w:val="0"/>
          <w:numId w:val="0"/>
        </w:numPr>
        <w:jc w:val="both"/>
        <w:rPr>
          <w:rFonts w:hint="eastAsia" w:ascii="宋体" w:hAnsi="宋体" w:eastAsia="宋体" w:cs="宋体"/>
          <w:b w:val="0"/>
          <w:bCs w:val="0"/>
          <w:sz w:val="32"/>
          <w:szCs w:val="32"/>
          <w:lang w:val="en-US" w:eastAsia="zh-CN"/>
        </w:rPr>
      </w:pPr>
    </w:p>
    <w:p>
      <w:pPr>
        <w:widowControl w:val="0"/>
        <w:numPr>
          <w:ilvl w:val="0"/>
          <w:numId w:val="0"/>
        </w:numPr>
        <w:jc w:val="both"/>
        <w:rPr>
          <w:rFonts w:hint="eastAsia" w:ascii="宋体" w:hAnsi="宋体" w:eastAsia="宋体" w:cs="宋体"/>
          <w:b w:val="0"/>
          <w:bCs w:val="0"/>
          <w:sz w:val="32"/>
          <w:szCs w:val="32"/>
          <w:lang w:val="en-US" w:eastAsia="zh-CN"/>
        </w:rPr>
      </w:pPr>
    </w:p>
    <w:p>
      <w:pPr>
        <w:widowControl w:val="0"/>
        <w:numPr>
          <w:ilvl w:val="0"/>
          <w:numId w:val="0"/>
        </w:numPr>
        <w:jc w:val="both"/>
        <w:rPr>
          <w:rFonts w:hint="eastAsia" w:ascii="宋体" w:hAnsi="宋体" w:eastAsia="宋体" w:cs="宋体"/>
          <w:b w:val="0"/>
          <w:bCs w:val="0"/>
          <w:sz w:val="32"/>
          <w:szCs w:val="32"/>
          <w:lang w:val="en-US" w:eastAsia="zh-CN"/>
        </w:rPr>
      </w:pPr>
    </w:p>
    <w:p>
      <w:pPr>
        <w:widowControl w:val="0"/>
        <w:numPr>
          <w:ilvl w:val="0"/>
          <w:numId w:val="2"/>
        </w:numPr>
        <w:jc w:val="both"/>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lang w:val="en-US" w:eastAsia="zh-CN"/>
        </w:rPr>
        <w:t>招标文件前附表</w:t>
      </w:r>
    </w:p>
    <w:tbl>
      <w:tblPr>
        <w:tblStyle w:val="3"/>
        <w:tblW w:w="85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9"/>
        <w:gridCol w:w="1935"/>
        <w:gridCol w:w="5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tcPr>
          <w:p>
            <w:pPr>
              <w:widowControl w:val="0"/>
              <w:numPr>
                <w:ilvl w:val="0"/>
                <w:numId w:val="0"/>
              </w:numPr>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序号</w:t>
            </w:r>
          </w:p>
        </w:tc>
        <w:tc>
          <w:tcPr>
            <w:tcW w:w="1935" w:type="dxa"/>
          </w:tcPr>
          <w:p>
            <w:pPr>
              <w:widowControl w:val="0"/>
              <w:numPr>
                <w:ilvl w:val="0"/>
                <w:numId w:val="0"/>
              </w:numPr>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内容</w:t>
            </w:r>
          </w:p>
        </w:tc>
        <w:tc>
          <w:tcPr>
            <w:tcW w:w="5940" w:type="dxa"/>
          </w:tcPr>
          <w:p>
            <w:pPr>
              <w:widowControl w:val="0"/>
              <w:numPr>
                <w:ilvl w:val="0"/>
                <w:numId w:val="0"/>
              </w:numPr>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699" w:type="dxa"/>
          </w:tcPr>
          <w:p>
            <w:pPr>
              <w:widowControl w:val="0"/>
              <w:numPr>
                <w:ilvl w:val="0"/>
                <w:numId w:val="0"/>
              </w:numPr>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1</w:t>
            </w:r>
          </w:p>
        </w:tc>
        <w:tc>
          <w:tcPr>
            <w:tcW w:w="1935" w:type="dxa"/>
          </w:tcPr>
          <w:p>
            <w:pPr>
              <w:widowControl w:val="0"/>
              <w:numPr>
                <w:ilvl w:val="0"/>
                <w:numId w:val="0"/>
              </w:numPr>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项目名称</w:t>
            </w:r>
          </w:p>
        </w:tc>
        <w:tc>
          <w:tcPr>
            <w:tcW w:w="5940" w:type="dxa"/>
          </w:tcPr>
          <w:p>
            <w:pPr>
              <w:widowControl w:val="0"/>
              <w:numPr>
                <w:ilvl w:val="0"/>
                <w:numId w:val="0"/>
              </w:numPr>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LNG运输第三方物流企业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699" w:type="dxa"/>
          </w:tcPr>
          <w:p>
            <w:pPr>
              <w:widowControl w:val="0"/>
              <w:numPr>
                <w:ilvl w:val="0"/>
                <w:numId w:val="0"/>
              </w:numPr>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2</w:t>
            </w:r>
          </w:p>
        </w:tc>
        <w:tc>
          <w:tcPr>
            <w:tcW w:w="1935" w:type="dxa"/>
          </w:tcPr>
          <w:p>
            <w:pPr>
              <w:widowControl w:val="0"/>
              <w:numPr>
                <w:ilvl w:val="0"/>
                <w:numId w:val="0"/>
              </w:numPr>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招标人名称</w:t>
            </w:r>
          </w:p>
        </w:tc>
        <w:tc>
          <w:tcPr>
            <w:tcW w:w="5940" w:type="dxa"/>
          </w:tcPr>
          <w:p>
            <w:pPr>
              <w:widowControl w:val="0"/>
              <w:numPr>
                <w:ilvl w:val="0"/>
                <w:numId w:val="0"/>
              </w:numPr>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重庆博杰能源有限有限公司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tcPr>
          <w:p>
            <w:pPr>
              <w:widowControl w:val="0"/>
              <w:numPr>
                <w:ilvl w:val="0"/>
                <w:numId w:val="0"/>
              </w:numPr>
              <w:jc w:val="center"/>
              <w:rPr>
                <w:rFonts w:hint="eastAsia" w:ascii="宋体" w:hAnsi="宋体" w:eastAsia="宋体" w:cs="宋体"/>
                <w:b w:val="0"/>
                <w:bCs w:val="0"/>
                <w:sz w:val="24"/>
                <w:szCs w:val="24"/>
                <w:vertAlign w:val="baseline"/>
                <w:lang w:val="en-US" w:eastAsia="zh-CN"/>
              </w:rPr>
            </w:pPr>
          </w:p>
          <w:p>
            <w:pPr>
              <w:widowControl w:val="0"/>
              <w:numPr>
                <w:ilvl w:val="0"/>
                <w:numId w:val="0"/>
              </w:numPr>
              <w:jc w:val="center"/>
              <w:rPr>
                <w:rFonts w:hint="eastAsia" w:ascii="宋体" w:hAnsi="宋体" w:eastAsia="宋体" w:cs="宋体"/>
                <w:b w:val="0"/>
                <w:bCs w:val="0"/>
                <w:sz w:val="24"/>
                <w:szCs w:val="24"/>
                <w:vertAlign w:val="baseline"/>
                <w:lang w:val="en-US" w:eastAsia="zh-CN"/>
              </w:rPr>
            </w:pPr>
          </w:p>
          <w:p>
            <w:pPr>
              <w:widowControl w:val="0"/>
              <w:numPr>
                <w:ilvl w:val="0"/>
                <w:numId w:val="0"/>
              </w:numPr>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3</w:t>
            </w:r>
          </w:p>
        </w:tc>
        <w:tc>
          <w:tcPr>
            <w:tcW w:w="1935" w:type="dxa"/>
          </w:tcPr>
          <w:p>
            <w:pPr>
              <w:widowControl w:val="0"/>
              <w:numPr>
                <w:ilvl w:val="0"/>
                <w:numId w:val="0"/>
              </w:numPr>
              <w:jc w:val="center"/>
              <w:rPr>
                <w:rFonts w:hint="eastAsia" w:ascii="宋体" w:hAnsi="宋体" w:eastAsia="宋体" w:cs="宋体"/>
                <w:b w:val="0"/>
                <w:bCs w:val="0"/>
                <w:sz w:val="24"/>
                <w:szCs w:val="24"/>
                <w:vertAlign w:val="baseline"/>
                <w:lang w:val="en-US" w:eastAsia="zh-CN"/>
              </w:rPr>
            </w:pPr>
          </w:p>
          <w:p>
            <w:pPr>
              <w:widowControl w:val="0"/>
              <w:numPr>
                <w:ilvl w:val="0"/>
                <w:numId w:val="0"/>
              </w:numPr>
              <w:jc w:val="center"/>
              <w:rPr>
                <w:rFonts w:hint="eastAsia" w:ascii="宋体" w:hAnsi="宋体" w:eastAsia="宋体" w:cs="宋体"/>
                <w:b w:val="0"/>
                <w:bCs w:val="0"/>
                <w:sz w:val="24"/>
                <w:szCs w:val="24"/>
                <w:vertAlign w:val="baseline"/>
                <w:lang w:val="en-US" w:eastAsia="zh-CN"/>
              </w:rPr>
            </w:pPr>
          </w:p>
          <w:p>
            <w:pPr>
              <w:widowControl w:val="0"/>
              <w:numPr>
                <w:ilvl w:val="0"/>
                <w:numId w:val="0"/>
              </w:numPr>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投标人报名条件</w:t>
            </w:r>
          </w:p>
        </w:tc>
        <w:tc>
          <w:tcPr>
            <w:tcW w:w="5940" w:type="dxa"/>
          </w:tcPr>
          <w:p>
            <w:pPr>
              <w:rPr>
                <w:rFonts w:hint="eastAsia" w:ascii="宋体" w:hAnsi="宋体" w:eastAsia="宋体" w:cs="宋体"/>
                <w:lang w:val="en-US" w:eastAsia="zh-CN"/>
              </w:rPr>
            </w:pPr>
            <w:r>
              <w:rPr>
                <w:rFonts w:hint="eastAsia" w:ascii="宋体" w:hAnsi="宋体" w:eastAsia="宋体" w:cs="宋体"/>
                <w:lang w:val="en-US" w:eastAsia="zh-CN"/>
              </w:rPr>
              <w:t>①具有独立企业法人资格，注册资金大于（含）人民币200万元；</w:t>
            </w:r>
          </w:p>
          <w:p>
            <w:pPr>
              <w:rPr>
                <w:rFonts w:hint="eastAsia" w:ascii="宋体" w:hAnsi="宋体" w:eastAsia="宋体" w:cs="宋体"/>
                <w:lang w:val="en-US" w:eastAsia="zh-CN"/>
              </w:rPr>
            </w:pPr>
            <w:r>
              <w:rPr>
                <w:rFonts w:hint="eastAsia" w:ascii="宋体" w:hAnsi="宋体" w:eastAsia="宋体" w:cs="宋体"/>
                <w:lang w:val="en-US" w:eastAsia="zh-CN"/>
              </w:rPr>
              <w:t>②本地运输企业，安全生产标准化建设三级及以上达标等级；</w:t>
            </w:r>
          </w:p>
          <w:p>
            <w:pPr>
              <w:rPr>
                <w:rFonts w:hint="eastAsia" w:ascii="宋体" w:hAnsi="宋体" w:eastAsia="宋体" w:cs="宋体"/>
                <w:lang w:val="en-US" w:eastAsia="zh-CN"/>
              </w:rPr>
            </w:pPr>
            <w:r>
              <w:rPr>
                <w:rFonts w:hint="eastAsia" w:ascii="宋体" w:hAnsi="宋体" w:eastAsia="宋体" w:cs="宋体"/>
                <w:lang w:val="en-US" w:eastAsia="zh-CN"/>
              </w:rPr>
              <w:t>③符合同类产品的危化品资质；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tcPr>
          <w:p>
            <w:pPr>
              <w:widowControl w:val="0"/>
              <w:numPr>
                <w:ilvl w:val="0"/>
                <w:numId w:val="0"/>
              </w:numPr>
              <w:jc w:val="center"/>
              <w:rPr>
                <w:rFonts w:hint="eastAsia" w:ascii="宋体" w:hAnsi="宋体" w:eastAsia="宋体" w:cs="宋体"/>
                <w:b w:val="0"/>
                <w:bCs w:val="0"/>
                <w:sz w:val="24"/>
                <w:szCs w:val="24"/>
                <w:vertAlign w:val="baseline"/>
                <w:lang w:val="en-US" w:eastAsia="zh-CN"/>
              </w:rPr>
            </w:pPr>
          </w:p>
          <w:p>
            <w:pPr>
              <w:widowControl w:val="0"/>
              <w:numPr>
                <w:ilvl w:val="0"/>
                <w:numId w:val="0"/>
              </w:numPr>
              <w:jc w:val="center"/>
              <w:rPr>
                <w:rFonts w:hint="eastAsia" w:ascii="宋体" w:hAnsi="宋体" w:eastAsia="宋体" w:cs="宋体"/>
                <w:b w:val="0"/>
                <w:bCs w:val="0"/>
                <w:sz w:val="24"/>
                <w:szCs w:val="24"/>
                <w:vertAlign w:val="baseline"/>
                <w:lang w:val="en-US" w:eastAsia="zh-CN"/>
              </w:rPr>
            </w:pPr>
          </w:p>
          <w:p>
            <w:pPr>
              <w:widowControl w:val="0"/>
              <w:numPr>
                <w:ilvl w:val="0"/>
                <w:numId w:val="0"/>
              </w:numPr>
              <w:jc w:val="center"/>
              <w:rPr>
                <w:rFonts w:hint="eastAsia" w:ascii="宋体" w:hAnsi="宋体" w:eastAsia="宋体" w:cs="宋体"/>
                <w:b w:val="0"/>
                <w:bCs w:val="0"/>
                <w:sz w:val="24"/>
                <w:szCs w:val="24"/>
                <w:vertAlign w:val="baseline"/>
                <w:lang w:val="en-US" w:eastAsia="zh-CN"/>
              </w:rPr>
            </w:pPr>
          </w:p>
          <w:p>
            <w:pPr>
              <w:widowControl w:val="0"/>
              <w:numPr>
                <w:ilvl w:val="0"/>
                <w:numId w:val="0"/>
              </w:numPr>
              <w:jc w:val="center"/>
              <w:rPr>
                <w:rFonts w:hint="eastAsia" w:ascii="宋体" w:hAnsi="宋体" w:eastAsia="宋体" w:cs="宋体"/>
                <w:b w:val="0"/>
                <w:bCs w:val="0"/>
                <w:sz w:val="24"/>
                <w:szCs w:val="24"/>
                <w:vertAlign w:val="baseline"/>
                <w:lang w:val="en-US" w:eastAsia="zh-CN"/>
              </w:rPr>
            </w:pPr>
          </w:p>
          <w:p>
            <w:pPr>
              <w:widowControl w:val="0"/>
              <w:numPr>
                <w:ilvl w:val="0"/>
                <w:numId w:val="0"/>
              </w:numPr>
              <w:jc w:val="center"/>
              <w:rPr>
                <w:rFonts w:hint="eastAsia" w:ascii="宋体" w:hAnsi="宋体" w:eastAsia="宋体" w:cs="宋体"/>
                <w:b w:val="0"/>
                <w:bCs w:val="0"/>
                <w:sz w:val="24"/>
                <w:szCs w:val="24"/>
                <w:vertAlign w:val="baseline"/>
                <w:lang w:val="en-US" w:eastAsia="zh-CN"/>
              </w:rPr>
            </w:pPr>
          </w:p>
          <w:p>
            <w:pPr>
              <w:widowControl w:val="0"/>
              <w:numPr>
                <w:ilvl w:val="0"/>
                <w:numId w:val="0"/>
              </w:numPr>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4</w:t>
            </w:r>
          </w:p>
        </w:tc>
        <w:tc>
          <w:tcPr>
            <w:tcW w:w="1935" w:type="dxa"/>
          </w:tcPr>
          <w:p>
            <w:pPr>
              <w:widowControl w:val="0"/>
              <w:numPr>
                <w:ilvl w:val="0"/>
                <w:numId w:val="0"/>
              </w:numPr>
              <w:jc w:val="center"/>
              <w:rPr>
                <w:rFonts w:hint="eastAsia" w:ascii="宋体" w:hAnsi="宋体" w:eastAsia="宋体" w:cs="宋体"/>
                <w:b w:val="0"/>
                <w:bCs w:val="0"/>
                <w:sz w:val="24"/>
                <w:szCs w:val="24"/>
                <w:vertAlign w:val="baseline"/>
                <w:lang w:val="en-US" w:eastAsia="zh-CN"/>
              </w:rPr>
            </w:pPr>
          </w:p>
          <w:p>
            <w:pPr>
              <w:widowControl w:val="0"/>
              <w:numPr>
                <w:ilvl w:val="0"/>
                <w:numId w:val="0"/>
              </w:numPr>
              <w:jc w:val="center"/>
              <w:rPr>
                <w:rFonts w:hint="eastAsia" w:ascii="宋体" w:hAnsi="宋体" w:eastAsia="宋体" w:cs="宋体"/>
                <w:b w:val="0"/>
                <w:bCs w:val="0"/>
                <w:sz w:val="24"/>
                <w:szCs w:val="24"/>
                <w:vertAlign w:val="baseline"/>
                <w:lang w:val="en-US" w:eastAsia="zh-CN"/>
              </w:rPr>
            </w:pPr>
          </w:p>
          <w:p>
            <w:pPr>
              <w:widowControl w:val="0"/>
              <w:numPr>
                <w:ilvl w:val="0"/>
                <w:numId w:val="0"/>
              </w:numPr>
              <w:jc w:val="center"/>
              <w:rPr>
                <w:rFonts w:hint="eastAsia" w:ascii="宋体" w:hAnsi="宋体" w:eastAsia="宋体" w:cs="宋体"/>
                <w:b w:val="0"/>
                <w:bCs w:val="0"/>
                <w:sz w:val="24"/>
                <w:szCs w:val="24"/>
                <w:vertAlign w:val="baseline"/>
                <w:lang w:val="en-US" w:eastAsia="zh-CN"/>
              </w:rPr>
            </w:pPr>
          </w:p>
          <w:p>
            <w:pPr>
              <w:widowControl w:val="0"/>
              <w:numPr>
                <w:ilvl w:val="0"/>
                <w:numId w:val="0"/>
              </w:numPr>
              <w:jc w:val="center"/>
              <w:rPr>
                <w:rFonts w:hint="eastAsia" w:ascii="宋体" w:hAnsi="宋体" w:eastAsia="宋体" w:cs="宋体"/>
                <w:b w:val="0"/>
                <w:bCs w:val="0"/>
                <w:sz w:val="24"/>
                <w:szCs w:val="24"/>
                <w:vertAlign w:val="baseline"/>
                <w:lang w:val="en-US" w:eastAsia="zh-CN"/>
              </w:rPr>
            </w:pPr>
          </w:p>
          <w:p>
            <w:pPr>
              <w:widowControl w:val="0"/>
              <w:numPr>
                <w:ilvl w:val="0"/>
                <w:numId w:val="0"/>
              </w:numPr>
              <w:jc w:val="center"/>
              <w:rPr>
                <w:rFonts w:hint="eastAsia" w:ascii="宋体" w:hAnsi="宋体" w:eastAsia="宋体" w:cs="宋体"/>
                <w:b w:val="0"/>
                <w:bCs w:val="0"/>
                <w:sz w:val="24"/>
                <w:szCs w:val="24"/>
                <w:vertAlign w:val="baseline"/>
                <w:lang w:val="en-US" w:eastAsia="zh-CN"/>
              </w:rPr>
            </w:pPr>
          </w:p>
          <w:p>
            <w:pPr>
              <w:widowControl w:val="0"/>
              <w:numPr>
                <w:ilvl w:val="0"/>
                <w:numId w:val="0"/>
              </w:numPr>
              <w:jc w:val="center"/>
              <w:rPr>
                <w:rFonts w:hint="eastAsia" w:ascii="宋体" w:hAnsi="宋体" w:eastAsia="宋体" w:cs="宋体"/>
                <w:b w:val="0"/>
                <w:bCs w:val="0"/>
                <w:sz w:val="24"/>
                <w:szCs w:val="24"/>
                <w:vertAlign w:val="baseline"/>
                <w:lang w:val="en-US" w:eastAsia="zh-CN"/>
              </w:rPr>
            </w:pPr>
          </w:p>
          <w:p>
            <w:pPr>
              <w:widowControl w:val="0"/>
              <w:numPr>
                <w:ilvl w:val="0"/>
                <w:numId w:val="0"/>
              </w:numPr>
              <w:jc w:val="center"/>
              <w:rPr>
                <w:rFonts w:hint="eastAsia" w:ascii="宋体" w:hAnsi="宋体" w:eastAsia="宋体" w:cs="宋体"/>
                <w:b w:val="0"/>
                <w:bCs w:val="0"/>
                <w:sz w:val="24"/>
                <w:szCs w:val="24"/>
                <w:vertAlign w:val="baseline"/>
                <w:lang w:val="en-US" w:eastAsia="zh-CN"/>
              </w:rPr>
            </w:pPr>
          </w:p>
          <w:p>
            <w:pPr>
              <w:widowControl w:val="0"/>
              <w:numPr>
                <w:ilvl w:val="0"/>
                <w:numId w:val="0"/>
              </w:numPr>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投标保证金</w:t>
            </w:r>
          </w:p>
        </w:tc>
        <w:tc>
          <w:tcPr>
            <w:tcW w:w="5940" w:type="dxa"/>
          </w:tcPr>
          <w:p>
            <w:pPr>
              <w:widowControl w:val="0"/>
              <w:numPr>
                <w:ilvl w:val="0"/>
                <w:numId w:val="3"/>
              </w:numPr>
              <w:jc w:val="both"/>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金额：伍仟元整。</w:t>
            </w:r>
          </w:p>
          <w:p>
            <w:pPr>
              <w:widowControl w:val="0"/>
              <w:numPr>
                <w:ilvl w:val="0"/>
                <w:numId w:val="3"/>
              </w:numPr>
              <w:jc w:val="both"/>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交纳方式：开标一日前</w:t>
            </w:r>
          </w:p>
          <w:p>
            <w:pPr>
              <w:widowControl w:val="0"/>
              <w:numPr>
                <w:ilvl w:val="0"/>
                <w:numId w:val="0"/>
              </w:numPr>
              <w:jc w:val="both"/>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 xml:space="preserve">   投标保证金在宣布中标人后五个工作日内退还。中标人在合同签订时按2000.00元/台缴纳履约保证金，如无违约履约完毕后五个工作日内原额无息退还履约保证金。</w:t>
            </w:r>
          </w:p>
          <w:p>
            <w:pPr>
              <w:widowControl w:val="0"/>
              <w:numPr>
                <w:ilvl w:val="0"/>
                <w:numId w:val="0"/>
              </w:numPr>
              <w:jc w:val="both"/>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下列情况发生时，投标保证金将被没收：</w:t>
            </w:r>
          </w:p>
          <w:p>
            <w:pPr>
              <w:widowControl w:val="0"/>
              <w:numPr>
                <w:ilvl w:val="0"/>
                <w:numId w:val="4"/>
              </w:numPr>
              <w:jc w:val="both"/>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投标人在投标有效期内撤回其投标；</w:t>
            </w:r>
          </w:p>
          <w:p>
            <w:pPr>
              <w:widowControl w:val="0"/>
              <w:numPr>
                <w:ilvl w:val="0"/>
                <w:numId w:val="4"/>
              </w:numPr>
              <w:jc w:val="both"/>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中标人未按招标文件所述规定签订合同；</w:t>
            </w:r>
          </w:p>
          <w:p>
            <w:pPr>
              <w:widowControl w:val="0"/>
              <w:numPr>
                <w:ilvl w:val="0"/>
                <w:numId w:val="4"/>
              </w:numPr>
              <w:jc w:val="both"/>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投标人提供虚假材料投标的；</w:t>
            </w:r>
          </w:p>
          <w:p>
            <w:pPr>
              <w:widowControl w:val="0"/>
              <w:numPr>
                <w:ilvl w:val="0"/>
                <w:numId w:val="4"/>
              </w:numPr>
              <w:jc w:val="both"/>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投标人无事实依据，恶意质疑、投诉的。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699" w:type="dxa"/>
          </w:tcPr>
          <w:p>
            <w:pPr>
              <w:widowControl w:val="0"/>
              <w:numPr>
                <w:ilvl w:val="0"/>
                <w:numId w:val="0"/>
              </w:numPr>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5</w:t>
            </w:r>
          </w:p>
        </w:tc>
        <w:tc>
          <w:tcPr>
            <w:tcW w:w="1935" w:type="dxa"/>
          </w:tcPr>
          <w:p>
            <w:pPr>
              <w:widowControl w:val="0"/>
              <w:numPr>
                <w:ilvl w:val="0"/>
                <w:numId w:val="0"/>
              </w:numPr>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投标有效期</w:t>
            </w:r>
          </w:p>
        </w:tc>
        <w:tc>
          <w:tcPr>
            <w:tcW w:w="5940" w:type="dxa"/>
          </w:tcPr>
          <w:p>
            <w:pPr>
              <w:widowControl w:val="0"/>
              <w:numPr>
                <w:ilvl w:val="0"/>
                <w:numId w:val="0"/>
              </w:numPr>
              <w:jc w:val="both"/>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自开标之日起不少于</w:t>
            </w:r>
            <w:r>
              <w:rPr>
                <w:rFonts w:hint="eastAsia" w:ascii="宋体" w:hAnsi="宋体" w:eastAsia="宋体" w:cs="宋体"/>
                <w:b w:val="0"/>
                <w:bCs w:val="0"/>
                <w:sz w:val="24"/>
                <w:szCs w:val="24"/>
                <w:u w:val="single"/>
                <w:vertAlign w:val="baseline"/>
                <w:lang w:val="en-US" w:eastAsia="zh-CN"/>
              </w:rPr>
              <w:t>20</w:t>
            </w:r>
            <w:r>
              <w:rPr>
                <w:rFonts w:hint="eastAsia" w:ascii="宋体" w:hAnsi="宋体" w:eastAsia="宋体" w:cs="宋体"/>
                <w:b w:val="0"/>
                <w:bCs w:val="0"/>
                <w:sz w:val="24"/>
                <w:szCs w:val="24"/>
                <w:vertAlign w:val="baseline"/>
                <w:lang w:val="en-US" w:eastAsia="zh-CN"/>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699" w:type="dxa"/>
          </w:tcPr>
          <w:p>
            <w:pPr>
              <w:widowControl w:val="0"/>
              <w:numPr>
                <w:ilvl w:val="0"/>
                <w:numId w:val="0"/>
              </w:numPr>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6</w:t>
            </w:r>
          </w:p>
        </w:tc>
        <w:tc>
          <w:tcPr>
            <w:tcW w:w="1935" w:type="dxa"/>
          </w:tcPr>
          <w:p>
            <w:pPr>
              <w:widowControl w:val="0"/>
              <w:numPr>
                <w:ilvl w:val="0"/>
                <w:numId w:val="0"/>
              </w:numPr>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投标文件的份数</w:t>
            </w:r>
          </w:p>
        </w:tc>
        <w:tc>
          <w:tcPr>
            <w:tcW w:w="5940" w:type="dxa"/>
          </w:tcPr>
          <w:p>
            <w:pPr>
              <w:widowControl w:val="0"/>
              <w:numPr>
                <w:ilvl w:val="0"/>
                <w:numId w:val="0"/>
              </w:numPr>
              <w:jc w:val="left"/>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正本1份、副本2份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99" w:type="dxa"/>
          </w:tcPr>
          <w:p>
            <w:pPr>
              <w:widowControl w:val="0"/>
              <w:numPr>
                <w:ilvl w:val="0"/>
                <w:numId w:val="0"/>
              </w:numPr>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7</w:t>
            </w:r>
          </w:p>
        </w:tc>
        <w:tc>
          <w:tcPr>
            <w:tcW w:w="1935" w:type="dxa"/>
          </w:tcPr>
          <w:p>
            <w:pPr>
              <w:widowControl w:val="0"/>
              <w:numPr>
                <w:ilvl w:val="0"/>
                <w:numId w:val="0"/>
              </w:numPr>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投标截止时间</w:t>
            </w:r>
          </w:p>
        </w:tc>
        <w:tc>
          <w:tcPr>
            <w:tcW w:w="5940" w:type="dxa"/>
          </w:tcPr>
          <w:p>
            <w:pPr>
              <w:widowControl w:val="0"/>
              <w:numPr>
                <w:ilvl w:val="0"/>
                <w:numId w:val="0"/>
              </w:numPr>
              <w:jc w:val="left"/>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2023年8月25日下午14:30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tcPr>
          <w:p>
            <w:pPr>
              <w:widowControl w:val="0"/>
              <w:numPr>
                <w:ilvl w:val="0"/>
                <w:numId w:val="0"/>
              </w:numPr>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8</w:t>
            </w:r>
          </w:p>
        </w:tc>
        <w:tc>
          <w:tcPr>
            <w:tcW w:w="1935" w:type="dxa"/>
          </w:tcPr>
          <w:p>
            <w:pPr>
              <w:widowControl w:val="0"/>
              <w:numPr>
                <w:ilvl w:val="0"/>
                <w:numId w:val="0"/>
              </w:numPr>
              <w:jc w:val="both"/>
              <w:rPr>
                <w:rFonts w:hint="eastAsia" w:ascii="宋体" w:hAnsi="宋体" w:eastAsia="宋体" w:cs="宋体"/>
                <w:b w:val="0"/>
                <w:bCs w:val="0"/>
                <w:sz w:val="24"/>
                <w:szCs w:val="24"/>
                <w:vertAlign w:val="baseline"/>
                <w:lang w:val="en-US" w:eastAsia="zh-CN"/>
              </w:rPr>
            </w:pPr>
          </w:p>
          <w:p>
            <w:pPr>
              <w:widowControl w:val="0"/>
              <w:numPr>
                <w:ilvl w:val="0"/>
                <w:numId w:val="0"/>
              </w:numPr>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开标时间地点</w:t>
            </w:r>
          </w:p>
        </w:tc>
        <w:tc>
          <w:tcPr>
            <w:tcW w:w="5940" w:type="dxa"/>
          </w:tcPr>
          <w:p>
            <w:pPr>
              <w:widowControl w:val="0"/>
              <w:numPr>
                <w:ilvl w:val="0"/>
                <w:numId w:val="0"/>
              </w:numPr>
              <w:jc w:val="both"/>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时间：2023年8月25日 下午14:30</w:t>
            </w:r>
          </w:p>
          <w:p>
            <w:pPr>
              <w:widowControl w:val="0"/>
              <w:numPr>
                <w:ilvl w:val="0"/>
                <w:numId w:val="0"/>
              </w:numPr>
              <w:jc w:val="both"/>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地点：重庆博杰能源有限公司309室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699" w:type="dxa"/>
          </w:tcPr>
          <w:p>
            <w:pPr>
              <w:widowControl w:val="0"/>
              <w:numPr>
                <w:ilvl w:val="0"/>
                <w:numId w:val="0"/>
              </w:numPr>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9</w:t>
            </w:r>
          </w:p>
        </w:tc>
        <w:tc>
          <w:tcPr>
            <w:tcW w:w="1935" w:type="dxa"/>
          </w:tcPr>
          <w:p>
            <w:pPr>
              <w:widowControl w:val="0"/>
              <w:numPr>
                <w:ilvl w:val="0"/>
                <w:numId w:val="0"/>
              </w:numPr>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招标文件发售</w:t>
            </w:r>
          </w:p>
        </w:tc>
        <w:tc>
          <w:tcPr>
            <w:tcW w:w="5940" w:type="dxa"/>
          </w:tcPr>
          <w:p>
            <w:pPr>
              <w:widowControl w:val="0"/>
              <w:numPr>
                <w:ilvl w:val="0"/>
                <w:numId w:val="0"/>
              </w:numPr>
              <w:jc w:val="both"/>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通过QQ、E-mail方式，传达电子文档</w:t>
            </w:r>
          </w:p>
        </w:tc>
      </w:tr>
    </w:tbl>
    <w:p>
      <w:pPr>
        <w:widowControl w:val="0"/>
        <w:numPr>
          <w:ilvl w:val="0"/>
          <w:numId w:val="0"/>
        </w:numPr>
        <w:jc w:val="both"/>
        <w:rPr>
          <w:rFonts w:hint="eastAsia" w:ascii="宋体" w:hAnsi="宋体" w:eastAsia="宋体" w:cs="宋体"/>
          <w:b w:val="0"/>
          <w:bCs w:val="0"/>
          <w:sz w:val="32"/>
          <w:szCs w:val="32"/>
          <w:lang w:val="en-US" w:eastAsia="zh-CN"/>
        </w:rPr>
      </w:pPr>
    </w:p>
    <w:p>
      <w:pPr>
        <w:widowControl w:val="0"/>
        <w:numPr>
          <w:ilvl w:val="0"/>
          <w:numId w:val="2"/>
        </w:numPr>
        <w:ind w:left="0" w:leftChars="0" w:firstLine="0" w:firstLineChars="0"/>
        <w:jc w:val="both"/>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lang w:val="en-US" w:eastAsia="zh-CN"/>
        </w:rPr>
        <w:t>项目概况</w:t>
      </w:r>
    </w:p>
    <w:p>
      <w:pPr>
        <w:widowControl w:val="0"/>
        <w:numPr>
          <w:ilvl w:val="0"/>
          <w:numId w:val="5"/>
        </w:numPr>
        <w:ind w:leftChars="0"/>
        <w:jc w:val="both"/>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lang w:val="en-US" w:eastAsia="zh-CN"/>
        </w:rPr>
        <w:t>招标人基本情况</w:t>
      </w:r>
    </w:p>
    <w:p>
      <w:pPr>
        <w:widowControl w:val="0"/>
        <w:numPr>
          <w:ilvl w:val="0"/>
          <w:numId w:val="0"/>
        </w:numPr>
        <w:spacing w:line="360" w:lineRule="auto"/>
        <w:jc w:val="both"/>
        <w:rPr>
          <w:rFonts w:hint="eastAsia" w:ascii="宋体" w:hAnsi="宋体" w:eastAsia="宋体" w:cs="宋体"/>
          <w:b w:val="0"/>
          <w:bCs w:val="0"/>
          <w:sz w:val="24"/>
          <w:szCs w:val="24"/>
          <w:lang w:val="en-US" w:eastAsia="zh-CN"/>
        </w:rPr>
      </w:pPr>
      <w:r>
        <w:rPr>
          <w:rFonts w:hint="eastAsia" w:ascii="宋体" w:hAnsi="宋体" w:eastAsia="宋体" w:cs="宋体"/>
          <w:b w:val="0"/>
          <w:bCs w:val="0"/>
          <w:sz w:val="32"/>
          <w:szCs w:val="32"/>
          <w:lang w:val="en-US" w:eastAsia="zh-CN"/>
        </w:rPr>
        <w:t xml:space="preserve">   </w:t>
      </w:r>
      <w:r>
        <w:rPr>
          <w:rFonts w:hint="eastAsia" w:ascii="宋体" w:hAnsi="宋体" w:eastAsia="宋体" w:cs="宋体"/>
          <w:b w:val="0"/>
          <w:bCs w:val="0"/>
          <w:sz w:val="24"/>
          <w:szCs w:val="24"/>
          <w:lang w:val="en-US" w:eastAsia="zh-CN"/>
        </w:rPr>
        <w:t>重庆博杰能源有限公司成立于2013年，现有鼎发实业股份有限公司和海南棋俊投资有限公司两个股东，鼎发公司持股60%，海南棋俊持股40%；公司位于重庆市垫江县工业园区澄溪拓展区，主要从事液化天然气（LNG）的生产与销售，一期、二期工程装置规模45×10</w:t>
      </w:r>
      <w:r>
        <w:rPr>
          <w:rFonts w:hint="eastAsia" w:ascii="宋体" w:hAnsi="宋体" w:eastAsia="宋体" w:cs="宋体"/>
          <w:b w:val="0"/>
          <w:bCs w:val="0"/>
          <w:sz w:val="24"/>
          <w:szCs w:val="24"/>
          <w:vertAlign w:val="superscript"/>
          <w:lang w:val="en-US" w:eastAsia="zh-CN"/>
        </w:rPr>
        <w:t>4</w:t>
      </w:r>
      <w:r>
        <w:rPr>
          <w:rFonts w:hint="eastAsia" w:ascii="宋体" w:hAnsi="宋体" w:eastAsia="宋体" w:cs="宋体"/>
          <w:b w:val="0"/>
          <w:bCs w:val="0"/>
          <w:sz w:val="24"/>
          <w:szCs w:val="24"/>
          <w:lang w:val="en-US" w:eastAsia="zh-CN"/>
        </w:rPr>
        <w:t>m³/d天然气液化装置，可生产LNG液体300t/d。</w:t>
      </w:r>
    </w:p>
    <w:p>
      <w:pPr>
        <w:widowControl w:val="0"/>
        <w:numPr>
          <w:ilvl w:val="0"/>
          <w:numId w:val="5"/>
        </w:numPr>
        <w:ind w:left="0" w:leftChars="0" w:firstLine="0" w:firstLineChars="0"/>
        <w:jc w:val="left"/>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lang w:val="en-US" w:eastAsia="zh-CN"/>
        </w:rPr>
        <w:t>招标项目内容</w:t>
      </w:r>
    </w:p>
    <w:p>
      <w:pPr>
        <w:widowControl w:val="0"/>
        <w:numPr>
          <w:ilvl w:val="0"/>
          <w:numId w:val="0"/>
        </w:numPr>
        <w:spacing w:line="360" w:lineRule="auto"/>
        <w:ind w:leftChars="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 xml:space="preserve">   为规避安全风险，目前LNG由重庆市和业运输有限公司承运，根据公司生产扩能及管理的需要，拟新增一家第三方物流企业进行公司产品承运，此次招标不得少于三家物流企业投标，根据对企业综合考评，择优录取，确定为中标单位。</w:t>
      </w:r>
    </w:p>
    <w:p>
      <w:pPr>
        <w:widowControl w:val="0"/>
        <w:numPr>
          <w:ilvl w:val="0"/>
          <w:numId w:val="5"/>
        </w:numPr>
        <w:ind w:left="0" w:leftChars="0" w:firstLine="0" w:firstLineChars="0"/>
        <w:jc w:val="left"/>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lang w:val="en-US" w:eastAsia="zh-CN"/>
        </w:rPr>
        <w:t>合格投标人</w:t>
      </w:r>
    </w:p>
    <w:p>
      <w:pPr>
        <w:widowControl w:val="0"/>
        <w:numPr>
          <w:ilvl w:val="0"/>
          <w:numId w:val="0"/>
        </w:numPr>
        <w:spacing w:line="360" w:lineRule="auto"/>
        <w:ind w:leftChars="0" w:firstLine="480" w:firstLineChars="20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3.1投标人必须符合《中华人民共和国招标投标法》等有关国家法律法规之规定。</w:t>
      </w:r>
    </w:p>
    <w:p>
      <w:pPr>
        <w:widowControl w:val="0"/>
        <w:numPr>
          <w:ilvl w:val="0"/>
          <w:numId w:val="0"/>
        </w:numPr>
        <w:spacing w:line="360" w:lineRule="auto"/>
        <w:ind w:leftChars="0" w:firstLine="480" w:firstLineChars="20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3.2符合“招标文件前附表”中要求的资格标准。</w:t>
      </w:r>
    </w:p>
    <w:p>
      <w:pPr>
        <w:widowControl w:val="0"/>
        <w:numPr>
          <w:ilvl w:val="0"/>
          <w:numId w:val="0"/>
        </w:numPr>
        <w:spacing w:line="360" w:lineRule="auto"/>
        <w:ind w:leftChars="0" w:firstLine="480" w:firstLineChars="20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3.3法定代表人为同一个人的两个及两个人以上法人，母公司、全资子公司及其控股公司，都不得在本项目招标中同时投标。</w:t>
      </w:r>
    </w:p>
    <w:p>
      <w:pPr>
        <w:widowControl w:val="0"/>
        <w:numPr>
          <w:ilvl w:val="0"/>
          <w:numId w:val="0"/>
        </w:numPr>
        <w:spacing w:line="360" w:lineRule="auto"/>
        <w:ind w:leftChars="0" w:firstLine="480" w:firstLineChars="20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3.4符合招标文件中要求的其他资格。</w:t>
      </w:r>
    </w:p>
    <w:p>
      <w:pPr>
        <w:widowControl w:val="0"/>
        <w:numPr>
          <w:ilvl w:val="0"/>
          <w:numId w:val="5"/>
        </w:numPr>
        <w:ind w:left="0" w:leftChars="0" w:firstLine="0" w:firstLineChars="0"/>
        <w:jc w:val="left"/>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lang w:val="en-US" w:eastAsia="zh-CN"/>
        </w:rPr>
        <w:t>投标人代表</w:t>
      </w:r>
    </w:p>
    <w:p>
      <w:pPr>
        <w:widowControl w:val="0"/>
        <w:numPr>
          <w:ilvl w:val="0"/>
          <w:numId w:val="0"/>
        </w:numPr>
        <w:spacing w:line="360" w:lineRule="auto"/>
        <w:ind w:leftChars="0" w:firstLine="480" w:firstLineChars="20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4.1指全权代表投标人参加投标活动并签署投标文件的人。如果投标人代表不是法定代表人，须持有《法定代表人授权书》（格式详见附页）。</w:t>
      </w:r>
    </w:p>
    <w:p>
      <w:pPr>
        <w:widowControl w:val="0"/>
        <w:numPr>
          <w:ilvl w:val="0"/>
          <w:numId w:val="5"/>
        </w:numPr>
        <w:ind w:left="0" w:leftChars="0" w:firstLine="0" w:firstLineChars="0"/>
        <w:jc w:val="left"/>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lang w:val="en-US" w:eastAsia="zh-CN"/>
        </w:rPr>
        <w:t>投标费用</w:t>
      </w:r>
    </w:p>
    <w:p>
      <w:pPr>
        <w:widowControl w:val="0"/>
        <w:numPr>
          <w:ilvl w:val="0"/>
          <w:numId w:val="0"/>
        </w:numPr>
        <w:spacing w:line="360" w:lineRule="auto"/>
        <w:ind w:leftChars="0" w:firstLine="480" w:firstLineChars="20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5.1投标人应自行承担所有与准备和参加投标有关的全部费用。不论投标的结果如何，投标人均无义务和责任承担这些费用。</w:t>
      </w:r>
    </w:p>
    <w:p>
      <w:pPr>
        <w:widowControl w:val="0"/>
        <w:numPr>
          <w:ilvl w:val="0"/>
          <w:numId w:val="2"/>
        </w:numPr>
        <w:ind w:left="0" w:leftChars="0" w:firstLine="0" w:firstLineChars="0"/>
        <w:jc w:val="left"/>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lang w:val="en-US" w:eastAsia="zh-CN"/>
        </w:rPr>
        <w:t>招标要求：</w:t>
      </w:r>
    </w:p>
    <w:p>
      <w:pPr>
        <w:widowControl w:val="0"/>
        <w:numPr>
          <w:ilvl w:val="0"/>
          <w:numId w:val="6"/>
        </w:numPr>
        <w:spacing w:line="360" w:lineRule="auto"/>
        <w:ind w:leftChars="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物流企业的要求：</w:t>
      </w:r>
    </w:p>
    <w:p>
      <w:pPr>
        <w:widowControl w:val="0"/>
        <w:numPr>
          <w:ilvl w:val="0"/>
          <w:numId w:val="0"/>
        </w:numPr>
        <w:spacing w:line="360" w:lineRule="auto"/>
        <w:ind w:firstLine="480" w:firstLineChars="20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1、本地企业，</w:t>
      </w:r>
      <w:r>
        <w:rPr>
          <w:rFonts w:hint="eastAsia" w:ascii="宋体" w:hAnsi="宋体" w:eastAsia="宋体" w:cs="宋体"/>
          <w:sz w:val="24"/>
          <w:szCs w:val="24"/>
          <w:lang w:val="en-US" w:eastAsia="zh-CN"/>
        </w:rPr>
        <w:t>安全生产标准化建设三级及以上达标等级</w:t>
      </w:r>
      <w:r>
        <w:rPr>
          <w:rFonts w:hint="eastAsia" w:ascii="宋体" w:hAnsi="宋体" w:eastAsia="宋体" w:cs="宋体"/>
          <w:b w:val="0"/>
          <w:bCs w:val="0"/>
          <w:sz w:val="24"/>
          <w:szCs w:val="24"/>
          <w:lang w:val="en-US" w:eastAsia="zh-CN"/>
        </w:rPr>
        <w:t>；</w:t>
      </w:r>
    </w:p>
    <w:p>
      <w:pPr>
        <w:widowControl w:val="0"/>
        <w:numPr>
          <w:ilvl w:val="0"/>
          <w:numId w:val="0"/>
        </w:numPr>
        <w:spacing w:line="360" w:lineRule="auto"/>
        <w:ind w:firstLine="480" w:firstLineChars="20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2、符合同类产品的危化品运输资质；</w:t>
      </w:r>
    </w:p>
    <w:p>
      <w:pPr>
        <w:widowControl w:val="0"/>
        <w:numPr>
          <w:ilvl w:val="0"/>
          <w:numId w:val="0"/>
        </w:numPr>
        <w:spacing w:line="360" w:lineRule="auto"/>
        <w:ind w:firstLine="480" w:firstLineChars="20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3、企业组织架构齐全，有固定的经营场所，岗位人员按行业管理规定配备齐全，各项岗位职责、制度健全；</w:t>
      </w:r>
    </w:p>
    <w:p>
      <w:pPr>
        <w:widowControl w:val="0"/>
        <w:numPr>
          <w:ilvl w:val="0"/>
          <w:numId w:val="0"/>
        </w:numPr>
        <w:spacing w:line="360" w:lineRule="auto"/>
        <w:ind w:firstLine="480" w:firstLineChars="20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4、落实企业主体责任，一岗双责；</w:t>
      </w:r>
    </w:p>
    <w:p>
      <w:pPr>
        <w:widowControl w:val="0"/>
        <w:numPr>
          <w:ilvl w:val="0"/>
          <w:numId w:val="0"/>
        </w:numPr>
        <w:spacing w:line="360" w:lineRule="auto"/>
        <w:ind w:firstLine="480" w:firstLineChars="20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5、具备一般纳税人资格；</w:t>
      </w:r>
    </w:p>
    <w:p>
      <w:pPr>
        <w:widowControl w:val="0"/>
        <w:numPr>
          <w:ilvl w:val="0"/>
          <w:numId w:val="0"/>
        </w:numPr>
        <w:spacing w:line="360" w:lineRule="auto"/>
        <w:ind w:firstLine="480" w:firstLineChars="20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6、能科学、及时的调度运力。</w:t>
      </w:r>
    </w:p>
    <w:p>
      <w:pPr>
        <w:widowControl w:val="0"/>
        <w:numPr>
          <w:ilvl w:val="0"/>
          <w:numId w:val="6"/>
        </w:numPr>
        <w:spacing w:line="240" w:lineRule="auto"/>
        <w:ind w:left="0" w:leftChars="0" w:firstLine="0" w:firstLineChars="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车辆技术要求：</w:t>
      </w:r>
    </w:p>
    <w:p>
      <w:pPr>
        <w:widowControl w:val="0"/>
        <w:numPr>
          <w:ilvl w:val="0"/>
          <w:numId w:val="7"/>
        </w:numPr>
        <w:spacing w:line="360" w:lineRule="auto"/>
        <w:ind w:left="600" w:leftChars="0" w:firstLine="0" w:firstLineChars="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根据当前的生产规模，投放运力一台及以上；</w:t>
      </w:r>
    </w:p>
    <w:p>
      <w:pPr>
        <w:widowControl w:val="0"/>
        <w:numPr>
          <w:ilvl w:val="0"/>
          <w:numId w:val="7"/>
        </w:numPr>
        <w:spacing w:line="360" w:lineRule="auto"/>
        <w:ind w:left="600" w:leftChars="0" w:firstLine="0" w:firstLineChars="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车辆符合国家规范技术参数，安全设施设备齐全有效；</w:t>
      </w:r>
    </w:p>
    <w:p>
      <w:pPr>
        <w:widowControl w:val="0"/>
        <w:numPr>
          <w:ilvl w:val="0"/>
          <w:numId w:val="7"/>
        </w:numPr>
        <w:spacing w:line="360" w:lineRule="auto"/>
        <w:ind w:left="600" w:leftChars="0" w:firstLine="0" w:firstLineChars="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车辆燃料仅为LNG；</w:t>
      </w:r>
    </w:p>
    <w:p>
      <w:pPr>
        <w:widowControl w:val="0"/>
        <w:numPr>
          <w:ilvl w:val="0"/>
          <w:numId w:val="7"/>
        </w:numPr>
        <w:spacing w:line="360" w:lineRule="auto"/>
        <w:ind w:left="600" w:leftChars="0" w:firstLine="0" w:firstLineChars="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储罐容积不低于50㎥；</w:t>
      </w:r>
    </w:p>
    <w:p>
      <w:pPr>
        <w:widowControl w:val="0"/>
        <w:numPr>
          <w:ilvl w:val="0"/>
          <w:numId w:val="7"/>
        </w:numPr>
        <w:spacing w:line="360" w:lineRule="auto"/>
        <w:ind w:left="600" w:leftChars="0" w:firstLine="0" w:firstLineChars="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车辆定期审验、定级、二级维护作业以及储罐容器的检测；</w:t>
      </w:r>
    </w:p>
    <w:p>
      <w:pPr>
        <w:widowControl w:val="0"/>
        <w:numPr>
          <w:ilvl w:val="0"/>
          <w:numId w:val="7"/>
        </w:numPr>
        <w:spacing w:line="360" w:lineRule="auto"/>
        <w:ind w:left="600" w:leftChars="0" w:firstLine="0" w:firstLineChars="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车辆必须按照招标单位要求做好各类保险工作。</w:t>
      </w:r>
    </w:p>
    <w:p>
      <w:pPr>
        <w:widowControl w:val="0"/>
        <w:numPr>
          <w:ilvl w:val="0"/>
          <w:numId w:val="0"/>
        </w:numPr>
        <w:spacing w:line="240" w:lineRule="auto"/>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（三）从业人员要求：</w:t>
      </w:r>
    </w:p>
    <w:p>
      <w:pPr>
        <w:widowControl w:val="0"/>
        <w:numPr>
          <w:ilvl w:val="0"/>
          <w:numId w:val="0"/>
        </w:numPr>
        <w:spacing w:line="360" w:lineRule="auto"/>
        <w:ind w:leftChars="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 xml:space="preserve">     1、从业人员（驾驶员、押运员）必须资质相符；</w:t>
      </w:r>
    </w:p>
    <w:p>
      <w:pPr>
        <w:widowControl w:val="0"/>
        <w:numPr>
          <w:ilvl w:val="0"/>
          <w:numId w:val="0"/>
        </w:numPr>
        <w:spacing w:line="360" w:lineRule="auto"/>
        <w:ind w:leftChars="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 xml:space="preserve">     2、三年内无重大交通事故及一个记分周期内无违法行为；</w:t>
      </w:r>
    </w:p>
    <w:p>
      <w:pPr>
        <w:widowControl w:val="0"/>
        <w:numPr>
          <w:ilvl w:val="0"/>
          <w:numId w:val="0"/>
        </w:numPr>
        <w:spacing w:line="360" w:lineRule="auto"/>
        <w:ind w:leftChars="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 xml:space="preserve">     3、驾驶危化品（液态）罐车三年以上；</w:t>
      </w:r>
    </w:p>
    <w:p>
      <w:pPr>
        <w:widowControl w:val="0"/>
        <w:numPr>
          <w:ilvl w:val="0"/>
          <w:numId w:val="0"/>
        </w:numPr>
        <w:spacing w:line="360" w:lineRule="auto"/>
        <w:ind w:leftChars="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 xml:space="preserve">     4、从业人员应熟知危化品的化学性质及具备应急处置能力；</w:t>
      </w:r>
    </w:p>
    <w:p>
      <w:pPr>
        <w:widowControl w:val="0"/>
        <w:numPr>
          <w:ilvl w:val="0"/>
          <w:numId w:val="0"/>
        </w:numPr>
        <w:spacing w:line="360" w:lineRule="auto"/>
        <w:ind w:leftChars="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 xml:space="preserve">     5、从业人员必须严格执行危化品运输的管理规定；</w:t>
      </w:r>
    </w:p>
    <w:p>
      <w:pPr>
        <w:widowControl w:val="0"/>
        <w:numPr>
          <w:ilvl w:val="0"/>
          <w:numId w:val="0"/>
        </w:numPr>
        <w:spacing w:line="360" w:lineRule="auto"/>
        <w:ind w:leftChars="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 xml:space="preserve">     6、持有区（县）级以上医院的身体健康证明、（尿检）无吸毒证明；</w:t>
      </w:r>
    </w:p>
    <w:p>
      <w:pPr>
        <w:widowControl w:val="0"/>
        <w:numPr>
          <w:ilvl w:val="0"/>
          <w:numId w:val="0"/>
        </w:numPr>
        <w:spacing w:line="360" w:lineRule="auto"/>
        <w:ind w:leftChars="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 xml:space="preserve">     7、男性年龄不得超过50岁；</w:t>
      </w:r>
    </w:p>
    <w:p>
      <w:pPr>
        <w:widowControl w:val="0"/>
        <w:numPr>
          <w:ilvl w:val="0"/>
          <w:numId w:val="0"/>
        </w:numPr>
        <w:spacing w:line="360" w:lineRule="auto"/>
        <w:ind w:leftChars="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 xml:space="preserve">     8、持高中以上学历证明。</w:t>
      </w:r>
    </w:p>
    <w:p>
      <w:pPr>
        <w:widowControl w:val="0"/>
        <w:numPr>
          <w:ilvl w:val="0"/>
          <w:numId w:val="0"/>
        </w:numPr>
        <w:spacing w:line="240" w:lineRule="auto"/>
        <w:ind w:leftChars="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 xml:space="preserve"> （四）安全责任：</w:t>
      </w:r>
    </w:p>
    <w:p>
      <w:pPr>
        <w:widowControl w:val="0"/>
        <w:numPr>
          <w:ilvl w:val="0"/>
          <w:numId w:val="0"/>
        </w:numPr>
        <w:spacing w:line="360" w:lineRule="auto"/>
        <w:ind w:leftChars="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 xml:space="preserve">     1、第三方物流企业必须加强安全管理，严格落实安全生产主体责任，一岗双责，标准化达标工作；</w:t>
      </w:r>
    </w:p>
    <w:p>
      <w:pPr>
        <w:widowControl w:val="0"/>
        <w:numPr>
          <w:ilvl w:val="0"/>
          <w:numId w:val="0"/>
        </w:numPr>
        <w:spacing w:line="360" w:lineRule="auto"/>
        <w:ind w:leftChars="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 xml:space="preserve">     2、第三方物流企业应加强对从业人员的岗前培训、安全教育，从人、车、路、环境全方位管理到位；</w:t>
      </w:r>
    </w:p>
    <w:p>
      <w:pPr>
        <w:widowControl w:val="0"/>
        <w:numPr>
          <w:ilvl w:val="0"/>
          <w:numId w:val="0"/>
        </w:numPr>
        <w:spacing w:line="360" w:lineRule="auto"/>
        <w:ind w:leftChars="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 xml:space="preserve">     3、第三方物流企业严格落实危化品运输管理规定以及GPS的动态监管；</w:t>
      </w:r>
    </w:p>
    <w:p>
      <w:pPr>
        <w:widowControl w:val="0"/>
        <w:numPr>
          <w:ilvl w:val="0"/>
          <w:numId w:val="0"/>
        </w:numPr>
        <w:spacing w:line="360" w:lineRule="auto"/>
        <w:ind w:leftChars="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 xml:space="preserve">     4、一切安全责任事故、驾押人员劳动纠纷与招标单位无关；</w:t>
      </w:r>
    </w:p>
    <w:p>
      <w:pPr>
        <w:widowControl w:val="0"/>
        <w:numPr>
          <w:ilvl w:val="0"/>
          <w:numId w:val="0"/>
        </w:numPr>
        <w:spacing w:line="360" w:lineRule="auto"/>
        <w:ind w:leftChars="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 xml:space="preserve">     5、押运价格：根据市场情况，随行就市；</w:t>
      </w:r>
    </w:p>
    <w:p>
      <w:pPr>
        <w:widowControl w:val="0"/>
        <w:numPr>
          <w:ilvl w:val="0"/>
          <w:numId w:val="0"/>
        </w:numPr>
        <w:spacing w:line="360" w:lineRule="auto"/>
        <w:ind w:leftChars="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 xml:space="preserve">     6、运输费用结算方式：</w:t>
      </w:r>
    </w:p>
    <w:p>
      <w:pPr>
        <w:widowControl w:val="0"/>
        <w:numPr>
          <w:ilvl w:val="0"/>
          <w:numId w:val="0"/>
        </w:numPr>
        <w:spacing w:line="360" w:lineRule="auto"/>
        <w:ind w:leftChars="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 xml:space="preserve">    运输费用采取月结算方式，即每月二十五日，凭增值税专用运输发票采取对公账户结算。</w:t>
      </w:r>
    </w:p>
    <w:p>
      <w:pPr>
        <w:widowControl w:val="0"/>
        <w:numPr>
          <w:ilvl w:val="0"/>
          <w:numId w:val="2"/>
        </w:numPr>
        <w:spacing w:line="360" w:lineRule="auto"/>
        <w:ind w:left="0" w:leftChars="0" w:firstLine="0" w:firstLineChars="0"/>
        <w:jc w:val="left"/>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lang w:val="en-US" w:eastAsia="zh-CN"/>
        </w:rPr>
        <w:t>标书制作（</w:t>
      </w:r>
      <w:r>
        <w:rPr>
          <w:rFonts w:hint="eastAsia" w:ascii="宋体" w:hAnsi="宋体" w:eastAsia="宋体" w:cs="宋体"/>
          <w:b w:val="0"/>
          <w:bCs w:val="0"/>
          <w:sz w:val="24"/>
          <w:szCs w:val="24"/>
          <w:lang w:val="en-US" w:eastAsia="zh-CN"/>
        </w:rPr>
        <w:t>正本1本、副本2本</w:t>
      </w:r>
      <w:r>
        <w:rPr>
          <w:rFonts w:hint="eastAsia" w:ascii="宋体" w:hAnsi="宋体" w:eastAsia="宋体" w:cs="宋体"/>
          <w:b w:val="0"/>
          <w:bCs w:val="0"/>
          <w:sz w:val="32"/>
          <w:szCs w:val="32"/>
          <w:lang w:val="en-US" w:eastAsia="zh-CN"/>
        </w:rPr>
        <w:t>）：</w:t>
      </w:r>
    </w:p>
    <w:p>
      <w:pPr>
        <w:widowControl w:val="0"/>
        <w:numPr>
          <w:ilvl w:val="0"/>
          <w:numId w:val="8"/>
        </w:numPr>
        <w:spacing w:line="360" w:lineRule="auto"/>
        <w:ind w:left="440" w:leftChars="0" w:firstLine="0" w:firstLineChars="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公司简介</w:t>
      </w:r>
    </w:p>
    <w:p>
      <w:pPr>
        <w:widowControl w:val="0"/>
        <w:numPr>
          <w:ilvl w:val="0"/>
          <w:numId w:val="0"/>
        </w:numPr>
        <w:spacing w:line="360" w:lineRule="auto"/>
        <w:ind w:firstLine="480" w:firstLineChars="20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2、公司资质：营业执照、道路运输经营可证、安全生产标准化达标证明，验原件，收复印件加盖单位公章；</w:t>
      </w:r>
    </w:p>
    <w:p>
      <w:pPr>
        <w:widowControl w:val="0"/>
        <w:numPr>
          <w:ilvl w:val="0"/>
          <w:numId w:val="0"/>
        </w:numPr>
        <w:spacing w:line="360" w:lineRule="auto"/>
        <w:ind w:left="440" w:leftChars="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3、公司安全管理规章制度及相关资料。</w:t>
      </w:r>
    </w:p>
    <w:p>
      <w:pPr>
        <w:widowControl w:val="0"/>
        <w:numPr>
          <w:ilvl w:val="0"/>
          <w:numId w:val="2"/>
        </w:numPr>
        <w:spacing w:line="360" w:lineRule="auto"/>
        <w:ind w:left="0" w:leftChars="0" w:firstLine="0" w:firstLineChars="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评标办法：</w:t>
      </w:r>
    </w:p>
    <w:p>
      <w:pPr>
        <w:widowControl w:val="0"/>
        <w:numPr>
          <w:ilvl w:val="0"/>
          <w:numId w:val="9"/>
        </w:numPr>
        <w:spacing w:line="360" w:lineRule="auto"/>
        <w:ind w:left="480" w:leftChars="0" w:firstLine="0" w:firstLineChars="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严格按照“公开、公平、公正”的原则，成立评标领导小组；</w:t>
      </w:r>
    </w:p>
    <w:p>
      <w:pPr>
        <w:widowControl w:val="0"/>
        <w:numPr>
          <w:ilvl w:val="0"/>
          <w:numId w:val="9"/>
        </w:numPr>
        <w:spacing w:line="360" w:lineRule="auto"/>
        <w:ind w:left="480" w:leftChars="0" w:firstLine="0" w:firstLineChars="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评标领导小组首先对投标物流企业进行资质审查，确定投标企业；</w:t>
      </w:r>
    </w:p>
    <w:p>
      <w:pPr>
        <w:widowControl w:val="0"/>
        <w:numPr>
          <w:ilvl w:val="0"/>
          <w:numId w:val="0"/>
        </w:numPr>
        <w:spacing w:line="360" w:lineRule="auto"/>
        <w:ind w:leftChars="0" w:firstLine="480" w:firstLineChars="20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3、评标领导小组对符合资质的投标企业进行综合评分，满分100分，由评标领导小组翻阅投标人文件，现场宣读投标人是否达到相关要求，计分员计分，监督人员确认宣读及计分是否错误，各项分值具体如下：</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4"/>
        <w:gridCol w:w="3105"/>
        <w:gridCol w:w="3705"/>
        <w:gridCol w:w="9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4" w:type="dxa"/>
          </w:tcPr>
          <w:p>
            <w:pPr>
              <w:widowControl w:val="0"/>
              <w:numPr>
                <w:ilvl w:val="0"/>
                <w:numId w:val="0"/>
              </w:numPr>
              <w:spacing w:line="240" w:lineRule="auto"/>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序号</w:t>
            </w:r>
          </w:p>
        </w:tc>
        <w:tc>
          <w:tcPr>
            <w:tcW w:w="3105" w:type="dxa"/>
          </w:tcPr>
          <w:p>
            <w:pPr>
              <w:widowControl w:val="0"/>
              <w:numPr>
                <w:ilvl w:val="0"/>
                <w:numId w:val="0"/>
              </w:numPr>
              <w:spacing w:line="240" w:lineRule="auto"/>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因素</w:t>
            </w:r>
          </w:p>
        </w:tc>
        <w:tc>
          <w:tcPr>
            <w:tcW w:w="3705" w:type="dxa"/>
          </w:tcPr>
          <w:p>
            <w:pPr>
              <w:widowControl w:val="0"/>
              <w:numPr>
                <w:ilvl w:val="0"/>
                <w:numId w:val="0"/>
              </w:numPr>
              <w:spacing w:line="240" w:lineRule="auto"/>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计分方法</w:t>
            </w:r>
          </w:p>
        </w:tc>
        <w:tc>
          <w:tcPr>
            <w:tcW w:w="968" w:type="dxa"/>
          </w:tcPr>
          <w:p>
            <w:pPr>
              <w:widowControl w:val="0"/>
              <w:numPr>
                <w:ilvl w:val="0"/>
                <w:numId w:val="0"/>
              </w:numPr>
              <w:spacing w:line="240" w:lineRule="auto"/>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4" w:type="dxa"/>
          </w:tcPr>
          <w:p>
            <w:pPr>
              <w:widowControl w:val="0"/>
              <w:numPr>
                <w:ilvl w:val="0"/>
                <w:numId w:val="0"/>
              </w:numPr>
              <w:spacing w:line="240" w:lineRule="auto"/>
              <w:jc w:val="center"/>
              <w:rPr>
                <w:rFonts w:hint="eastAsia" w:ascii="宋体" w:hAnsi="宋体" w:eastAsia="宋体" w:cs="宋体"/>
                <w:b w:val="0"/>
                <w:bCs w:val="0"/>
                <w:sz w:val="24"/>
                <w:szCs w:val="24"/>
                <w:vertAlign w:val="baseline"/>
                <w:lang w:val="en-US" w:eastAsia="zh-CN"/>
              </w:rPr>
            </w:pPr>
          </w:p>
          <w:p>
            <w:pPr>
              <w:widowControl w:val="0"/>
              <w:numPr>
                <w:ilvl w:val="0"/>
                <w:numId w:val="0"/>
              </w:numPr>
              <w:spacing w:line="240" w:lineRule="auto"/>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1</w:t>
            </w:r>
          </w:p>
        </w:tc>
        <w:tc>
          <w:tcPr>
            <w:tcW w:w="3105" w:type="dxa"/>
          </w:tcPr>
          <w:p>
            <w:pPr>
              <w:widowControl w:val="0"/>
              <w:numPr>
                <w:ilvl w:val="0"/>
                <w:numId w:val="0"/>
              </w:numPr>
              <w:spacing w:line="360" w:lineRule="auto"/>
              <w:jc w:val="left"/>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具有独立法人资格，注册资金不低于贰佰万元</w:t>
            </w:r>
          </w:p>
        </w:tc>
        <w:tc>
          <w:tcPr>
            <w:tcW w:w="3705" w:type="dxa"/>
          </w:tcPr>
          <w:p>
            <w:pPr>
              <w:widowControl w:val="0"/>
              <w:numPr>
                <w:ilvl w:val="0"/>
                <w:numId w:val="0"/>
              </w:numPr>
              <w:spacing w:line="360" w:lineRule="auto"/>
              <w:jc w:val="left"/>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基础分15分，注册资金每增加壹佰万元加5分，最高加分不得超过30分。</w:t>
            </w:r>
          </w:p>
        </w:tc>
        <w:tc>
          <w:tcPr>
            <w:tcW w:w="968" w:type="dxa"/>
          </w:tcPr>
          <w:p>
            <w:pPr>
              <w:widowControl w:val="0"/>
              <w:numPr>
                <w:ilvl w:val="0"/>
                <w:numId w:val="0"/>
              </w:numPr>
              <w:spacing w:line="240" w:lineRule="auto"/>
              <w:jc w:val="center"/>
              <w:rPr>
                <w:rFonts w:hint="eastAsia" w:ascii="宋体" w:hAnsi="宋体" w:eastAsia="宋体" w:cs="宋体"/>
                <w:b w:val="0"/>
                <w:bCs w:val="0"/>
                <w:sz w:val="24"/>
                <w:szCs w:val="24"/>
                <w:vertAlign w:val="baseline"/>
                <w:lang w:val="en-US" w:eastAsia="zh-CN"/>
              </w:rPr>
            </w:pPr>
          </w:p>
          <w:p>
            <w:pPr>
              <w:widowControl w:val="0"/>
              <w:numPr>
                <w:ilvl w:val="0"/>
                <w:numId w:val="0"/>
              </w:numPr>
              <w:spacing w:line="240" w:lineRule="auto"/>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trPr>
        <w:tc>
          <w:tcPr>
            <w:tcW w:w="744" w:type="dxa"/>
          </w:tcPr>
          <w:p>
            <w:pPr>
              <w:widowControl w:val="0"/>
              <w:numPr>
                <w:ilvl w:val="0"/>
                <w:numId w:val="0"/>
              </w:numPr>
              <w:spacing w:line="240" w:lineRule="auto"/>
              <w:jc w:val="center"/>
              <w:rPr>
                <w:rFonts w:hint="eastAsia" w:ascii="宋体" w:hAnsi="宋体" w:eastAsia="宋体" w:cs="宋体"/>
                <w:b w:val="0"/>
                <w:bCs w:val="0"/>
                <w:sz w:val="24"/>
                <w:szCs w:val="24"/>
                <w:vertAlign w:val="baseline"/>
                <w:lang w:val="en-US" w:eastAsia="zh-CN"/>
              </w:rPr>
            </w:pPr>
          </w:p>
          <w:p>
            <w:pPr>
              <w:widowControl w:val="0"/>
              <w:numPr>
                <w:ilvl w:val="0"/>
                <w:numId w:val="0"/>
              </w:numPr>
              <w:spacing w:line="240" w:lineRule="auto"/>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2</w:t>
            </w:r>
          </w:p>
        </w:tc>
        <w:tc>
          <w:tcPr>
            <w:tcW w:w="3105" w:type="dxa"/>
          </w:tcPr>
          <w:p>
            <w:pPr>
              <w:widowControl w:val="0"/>
              <w:numPr>
                <w:ilvl w:val="0"/>
                <w:numId w:val="0"/>
              </w:numPr>
              <w:spacing w:line="360" w:lineRule="auto"/>
              <w:jc w:val="left"/>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具有相关资格证明</w:t>
            </w:r>
          </w:p>
        </w:tc>
        <w:tc>
          <w:tcPr>
            <w:tcW w:w="3705" w:type="dxa"/>
          </w:tcPr>
          <w:p>
            <w:pPr>
              <w:widowControl w:val="0"/>
              <w:numPr>
                <w:ilvl w:val="0"/>
                <w:numId w:val="0"/>
              </w:numPr>
              <w:spacing w:line="360" w:lineRule="auto"/>
              <w:jc w:val="left"/>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营业执照、道路运输经营许可证。缺少一项得0分。</w:t>
            </w:r>
          </w:p>
        </w:tc>
        <w:tc>
          <w:tcPr>
            <w:tcW w:w="968" w:type="dxa"/>
          </w:tcPr>
          <w:p>
            <w:pPr>
              <w:widowControl w:val="0"/>
              <w:numPr>
                <w:ilvl w:val="0"/>
                <w:numId w:val="0"/>
              </w:numPr>
              <w:spacing w:line="240" w:lineRule="auto"/>
              <w:jc w:val="center"/>
              <w:rPr>
                <w:rFonts w:hint="eastAsia" w:ascii="宋体" w:hAnsi="宋体" w:eastAsia="宋体" w:cs="宋体"/>
                <w:b w:val="0"/>
                <w:bCs w:val="0"/>
                <w:sz w:val="24"/>
                <w:szCs w:val="24"/>
                <w:vertAlign w:val="baseline"/>
                <w:lang w:val="en-US" w:eastAsia="zh-CN"/>
              </w:rPr>
            </w:pPr>
          </w:p>
          <w:p>
            <w:pPr>
              <w:widowControl w:val="0"/>
              <w:numPr>
                <w:ilvl w:val="0"/>
                <w:numId w:val="0"/>
              </w:numPr>
              <w:spacing w:line="240" w:lineRule="auto"/>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744" w:type="dxa"/>
          </w:tcPr>
          <w:p>
            <w:pPr>
              <w:widowControl w:val="0"/>
              <w:numPr>
                <w:ilvl w:val="0"/>
                <w:numId w:val="0"/>
              </w:numPr>
              <w:spacing w:line="240" w:lineRule="auto"/>
              <w:jc w:val="center"/>
              <w:rPr>
                <w:rFonts w:hint="eastAsia" w:ascii="宋体" w:hAnsi="宋体" w:eastAsia="宋体" w:cs="宋体"/>
                <w:b w:val="0"/>
                <w:bCs w:val="0"/>
                <w:sz w:val="24"/>
                <w:szCs w:val="24"/>
                <w:vertAlign w:val="baseline"/>
                <w:lang w:val="en-US" w:eastAsia="zh-CN"/>
              </w:rPr>
            </w:pPr>
          </w:p>
          <w:p>
            <w:pPr>
              <w:widowControl w:val="0"/>
              <w:numPr>
                <w:ilvl w:val="0"/>
                <w:numId w:val="0"/>
              </w:numPr>
              <w:spacing w:line="240" w:lineRule="auto"/>
              <w:jc w:val="center"/>
              <w:rPr>
                <w:rFonts w:hint="default"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3</w:t>
            </w:r>
          </w:p>
        </w:tc>
        <w:tc>
          <w:tcPr>
            <w:tcW w:w="3105" w:type="dxa"/>
          </w:tcPr>
          <w:p>
            <w:pPr>
              <w:widowControl w:val="0"/>
              <w:numPr>
                <w:ilvl w:val="0"/>
                <w:numId w:val="0"/>
              </w:numPr>
              <w:spacing w:line="360" w:lineRule="auto"/>
              <w:jc w:val="left"/>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安全标准化达标三级证明</w:t>
            </w:r>
          </w:p>
        </w:tc>
        <w:tc>
          <w:tcPr>
            <w:tcW w:w="3705" w:type="dxa"/>
          </w:tcPr>
          <w:p>
            <w:pPr>
              <w:widowControl w:val="0"/>
              <w:numPr>
                <w:ilvl w:val="0"/>
                <w:numId w:val="0"/>
              </w:numPr>
              <w:spacing w:line="360" w:lineRule="auto"/>
              <w:jc w:val="left"/>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基础分6分，每高一级加2分，最高10分。</w:t>
            </w:r>
          </w:p>
        </w:tc>
        <w:tc>
          <w:tcPr>
            <w:tcW w:w="968" w:type="dxa"/>
          </w:tcPr>
          <w:p>
            <w:pPr>
              <w:widowControl w:val="0"/>
              <w:numPr>
                <w:ilvl w:val="0"/>
                <w:numId w:val="0"/>
              </w:numPr>
              <w:spacing w:line="240" w:lineRule="auto"/>
              <w:jc w:val="center"/>
              <w:rPr>
                <w:rFonts w:hint="eastAsia" w:ascii="宋体" w:hAnsi="宋体" w:eastAsia="宋体" w:cs="宋体"/>
                <w:b w:val="0"/>
                <w:bCs w:val="0"/>
                <w:sz w:val="24"/>
                <w:szCs w:val="24"/>
                <w:vertAlign w:val="baseline"/>
                <w:lang w:val="en-US" w:eastAsia="zh-CN"/>
              </w:rPr>
            </w:pPr>
          </w:p>
          <w:p>
            <w:pPr>
              <w:widowControl w:val="0"/>
              <w:numPr>
                <w:ilvl w:val="0"/>
                <w:numId w:val="0"/>
              </w:numPr>
              <w:spacing w:line="240" w:lineRule="auto"/>
              <w:jc w:val="center"/>
              <w:rPr>
                <w:rFonts w:hint="default"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744" w:type="dxa"/>
          </w:tcPr>
          <w:p>
            <w:pPr>
              <w:widowControl w:val="0"/>
              <w:numPr>
                <w:ilvl w:val="0"/>
                <w:numId w:val="0"/>
              </w:numPr>
              <w:spacing w:line="240" w:lineRule="auto"/>
              <w:jc w:val="center"/>
              <w:rPr>
                <w:rFonts w:hint="eastAsia" w:ascii="宋体" w:hAnsi="宋体" w:eastAsia="宋体" w:cs="宋体"/>
                <w:b w:val="0"/>
                <w:bCs w:val="0"/>
                <w:sz w:val="24"/>
                <w:szCs w:val="24"/>
                <w:vertAlign w:val="baseline"/>
                <w:lang w:val="en-US" w:eastAsia="zh-CN"/>
              </w:rPr>
            </w:pPr>
          </w:p>
          <w:p>
            <w:pPr>
              <w:widowControl w:val="0"/>
              <w:numPr>
                <w:ilvl w:val="0"/>
                <w:numId w:val="0"/>
              </w:numPr>
              <w:spacing w:line="240" w:lineRule="auto"/>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4</w:t>
            </w:r>
          </w:p>
        </w:tc>
        <w:tc>
          <w:tcPr>
            <w:tcW w:w="3105" w:type="dxa"/>
          </w:tcPr>
          <w:p>
            <w:pPr>
              <w:widowControl w:val="0"/>
              <w:numPr>
                <w:ilvl w:val="0"/>
                <w:numId w:val="0"/>
              </w:numPr>
              <w:spacing w:line="240" w:lineRule="auto"/>
              <w:jc w:val="left"/>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具有良好的信誉和职业道德，诚信等级AA级及以上</w:t>
            </w:r>
          </w:p>
        </w:tc>
        <w:tc>
          <w:tcPr>
            <w:tcW w:w="3705" w:type="dxa"/>
          </w:tcPr>
          <w:p>
            <w:pPr>
              <w:widowControl w:val="0"/>
              <w:numPr>
                <w:ilvl w:val="0"/>
                <w:numId w:val="0"/>
              </w:numPr>
              <w:spacing w:line="360" w:lineRule="auto"/>
              <w:jc w:val="left"/>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基础分6分，每高一级加2分，最高10分。</w:t>
            </w:r>
          </w:p>
        </w:tc>
        <w:tc>
          <w:tcPr>
            <w:tcW w:w="968" w:type="dxa"/>
          </w:tcPr>
          <w:p>
            <w:pPr>
              <w:widowControl w:val="0"/>
              <w:numPr>
                <w:ilvl w:val="0"/>
                <w:numId w:val="0"/>
              </w:numPr>
              <w:spacing w:line="240" w:lineRule="auto"/>
              <w:jc w:val="center"/>
              <w:rPr>
                <w:rFonts w:hint="eastAsia" w:ascii="宋体" w:hAnsi="宋体" w:eastAsia="宋体" w:cs="宋体"/>
                <w:b w:val="0"/>
                <w:bCs w:val="0"/>
                <w:sz w:val="24"/>
                <w:szCs w:val="24"/>
                <w:vertAlign w:val="baseline"/>
                <w:lang w:val="en-US" w:eastAsia="zh-CN"/>
              </w:rPr>
            </w:pPr>
          </w:p>
          <w:p>
            <w:pPr>
              <w:widowControl w:val="0"/>
              <w:numPr>
                <w:ilvl w:val="0"/>
                <w:numId w:val="0"/>
              </w:numPr>
              <w:spacing w:line="240" w:lineRule="auto"/>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4" w:type="dxa"/>
          </w:tcPr>
          <w:p>
            <w:pPr>
              <w:widowControl w:val="0"/>
              <w:numPr>
                <w:ilvl w:val="0"/>
                <w:numId w:val="0"/>
              </w:numPr>
              <w:spacing w:line="240" w:lineRule="auto"/>
              <w:jc w:val="center"/>
              <w:rPr>
                <w:rFonts w:hint="eastAsia" w:ascii="宋体" w:hAnsi="宋体" w:eastAsia="宋体" w:cs="宋体"/>
                <w:b w:val="0"/>
                <w:bCs w:val="0"/>
                <w:sz w:val="24"/>
                <w:szCs w:val="24"/>
                <w:vertAlign w:val="baseline"/>
                <w:lang w:val="en-US" w:eastAsia="zh-CN"/>
              </w:rPr>
            </w:pPr>
          </w:p>
          <w:p>
            <w:pPr>
              <w:widowControl w:val="0"/>
              <w:numPr>
                <w:ilvl w:val="0"/>
                <w:numId w:val="0"/>
              </w:numPr>
              <w:spacing w:line="240" w:lineRule="auto"/>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5</w:t>
            </w:r>
          </w:p>
        </w:tc>
        <w:tc>
          <w:tcPr>
            <w:tcW w:w="3105" w:type="dxa"/>
          </w:tcPr>
          <w:p>
            <w:pPr>
              <w:widowControl w:val="0"/>
              <w:numPr>
                <w:ilvl w:val="0"/>
                <w:numId w:val="0"/>
              </w:numPr>
              <w:spacing w:line="360" w:lineRule="auto"/>
              <w:jc w:val="left"/>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按照国家交通运输规定配备安全人员</w:t>
            </w:r>
          </w:p>
        </w:tc>
        <w:tc>
          <w:tcPr>
            <w:tcW w:w="3705" w:type="dxa"/>
          </w:tcPr>
          <w:p>
            <w:pPr>
              <w:widowControl w:val="0"/>
              <w:numPr>
                <w:ilvl w:val="0"/>
                <w:numId w:val="0"/>
              </w:numPr>
              <w:spacing w:line="360" w:lineRule="auto"/>
              <w:jc w:val="left"/>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无0分，有10分。</w:t>
            </w:r>
          </w:p>
        </w:tc>
        <w:tc>
          <w:tcPr>
            <w:tcW w:w="968" w:type="dxa"/>
          </w:tcPr>
          <w:p>
            <w:pPr>
              <w:widowControl w:val="0"/>
              <w:numPr>
                <w:ilvl w:val="0"/>
                <w:numId w:val="0"/>
              </w:numPr>
              <w:spacing w:line="240" w:lineRule="auto"/>
              <w:jc w:val="center"/>
              <w:rPr>
                <w:rFonts w:hint="eastAsia" w:ascii="宋体" w:hAnsi="宋体" w:eastAsia="宋体" w:cs="宋体"/>
                <w:b w:val="0"/>
                <w:bCs w:val="0"/>
                <w:sz w:val="24"/>
                <w:szCs w:val="24"/>
                <w:vertAlign w:val="baseline"/>
                <w:lang w:val="en-US" w:eastAsia="zh-CN"/>
              </w:rPr>
            </w:pPr>
          </w:p>
          <w:p>
            <w:pPr>
              <w:widowControl w:val="0"/>
              <w:numPr>
                <w:ilvl w:val="0"/>
                <w:numId w:val="0"/>
              </w:numPr>
              <w:spacing w:line="240" w:lineRule="auto"/>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4" w:type="dxa"/>
          </w:tcPr>
          <w:p>
            <w:pPr>
              <w:widowControl w:val="0"/>
              <w:numPr>
                <w:ilvl w:val="0"/>
                <w:numId w:val="0"/>
              </w:numPr>
              <w:spacing w:line="240" w:lineRule="auto"/>
              <w:jc w:val="center"/>
              <w:rPr>
                <w:rFonts w:hint="eastAsia" w:ascii="宋体" w:hAnsi="宋体" w:eastAsia="宋体" w:cs="宋体"/>
                <w:b w:val="0"/>
                <w:bCs w:val="0"/>
                <w:sz w:val="24"/>
                <w:szCs w:val="24"/>
                <w:vertAlign w:val="baseline"/>
                <w:lang w:val="en-US" w:eastAsia="zh-CN"/>
              </w:rPr>
            </w:pPr>
          </w:p>
          <w:p>
            <w:pPr>
              <w:widowControl w:val="0"/>
              <w:numPr>
                <w:ilvl w:val="0"/>
                <w:numId w:val="0"/>
              </w:numPr>
              <w:spacing w:line="240" w:lineRule="auto"/>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6</w:t>
            </w:r>
          </w:p>
        </w:tc>
        <w:tc>
          <w:tcPr>
            <w:tcW w:w="3105" w:type="dxa"/>
          </w:tcPr>
          <w:p>
            <w:pPr>
              <w:widowControl w:val="0"/>
              <w:numPr>
                <w:ilvl w:val="0"/>
                <w:numId w:val="0"/>
              </w:numPr>
              <w:spacing w:line="360" w:lineRule="auto"/>
              <w:jc w:val="left"/>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有依法纳税的良好记录</w:t>
            </w:r>
          </w:p>
        </w:tc>
        <w:tc>
          <w:tcPr>
            <w:tcW w:w="3705" w:type="dxa"/>
          </w:tcPr>
          <w:p>
            <w:pPr>
              <w:widowControl w:val="0"/>
              <w:numPr>
                <w:ilvl w:val="0"/>
                <w:numId w:val="0"/>
              </w:numPr>
              <w:spacing w:line="360" w:lineRule="auto"/>
              <w:jc w:val="left"/>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提供最近一年的完税证明。有10分，没有不得分。</w:t>
            </w:r>
          </w:p>
        </w:tc>
        <w:tc>
          <w:tcPr>
            <w:tcW w:w="968" w:type="dxa"/>
          </w:tcPr>
          <w:p>
            <w:pPr>
              <w:widowControl w:val="0"/>
              <w:numPr>
                <w:ilvl w:val="0"/>
                <w:numId w:val="0"/>
              </w:numPr>
              <w:spacing w:line="240" w:lineRule="auto"/>
              <w:jc w:val="center"/>
              <w:rPr>
                <w:rFonts w:hint="eastAsia" w:ascii="宋体" w:hAnsi="宋体" w:eastAsia="宋体" w:cs="宋体"/>
                <w:b w:val="0"/>
                <w:bCs w:val="0"/>
                <w:sz w:val="24"/>
                <w:szCs w:val="24"/>
                <w:vertAlign w:val="baseline"/>
                <w:lang w:val="en-US" w:eastAsia="zh-CN"/>
              </w:rPr>
            </w:pPr>
          </w:p>
          <w:p>
            <w:pPr>
              <w:widowControl w:val="0"/>
              <w:numPr>
                <w:ilvl w:val="0"/>
                <w:numId w:val="0"/>
              </w:numPr>
              <w:spacing w:line="240" w:lineRule="auto"/>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4" w:type="dxa"/>
          </w:tcPr>
          <w:p>
            <w:pPr>
              <w:widowControl w:val="0"/>
              <w:numPr>
                <w:ilvl w:val="0"/>
                <w:numId w:val="0"/>
              </w:numPr>
              <w:spacing w:line="240" w:lineRule="auto"/>
              <w:jc w:val="center"/>
              <w:rPr>
                <w:rFonts w:hint="eastAsia" w:ascii="宋体" w:hAnsi="宋体" w:eastAsia="宋体" w:cs="宋体"/>
                <w:b w:val="0"/>
                <w:bCs w:val="0"/>
                <w:sz w:val="24"/>
                <w:szCs w:val="24"/>
                <w:vertAlign w:val="baseline"/>
                <w:lang w:val="en-US" w:eastAsia="zh-CN"/>
              </w:rPr>
            </w:pPr>
          </w:p>
          <w:p>
            <w:pPr>
              <w:widowControl w:val="0"/>
              <w:numPr>
                <w:ilvl w:val="0"/>
                <w:numId w:val="0"/>
              </w:numPr>
              <w:spacing w:line="240" w:lineRule="auto"/>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7</w:t>
            </w:r>
          </w:p>
        </w:tc>
        <w:tc>
          <w:tcPr>
            <w:tcW w:w="3105" w:type="dxa"/>
          </w:tcPr>
          <w:p>
            <w:pPr>
              <w:widowControl w:val="0"/>
              <w:numPr>
                <w:ilvl w:val="0"/>
                <w:numId w:val="0"/>
              </w:numPr>
              <w:spacing w:line="360" w:lineRule="auto"/>
              <w:jc w:val="left"/>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有固定的经营场所，组织机构齐全</w:t>
            </w:r>
          </w:p>
        </w:tc>
        <w:tc>
          <w:tcPr>
            <w:tcW w:w="3705" w:type="dxa"/>
          </w:tcPr>
          <w:p>
            <w:pPr>
              <w:widowControl w:val="0"/>
              <w:numPr>
                <w:ilvl w:val="0"/>
                <w:numId w:val="0"/>
              </w:numPr>
              <w:spacing w:line="360" w:lineRule="auto"/>
              <w:jc w:val="left"/>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提供房产证或租房证明得5分，没有不得分；组织机构人员名单并相关证件可得5分。</w:t>
            </w:r>
          </w:p>
        </w:tc>
        <w:tc>
          <w:tcPr>
            <w:tcW w:w="968" w:type="dxa"/>
          </w:tcPr>
          <w:p>
            <w:pPr>
              <w:widowControl w:val="0"/>
              <w:numPr>
                <w:ilvl w:val="0"/>
                <w:numId w:val="0"/>
              </w:numPr>
              <w:spacing w:line="240" w:lineRule="auto"/>
              <w:jc w:val="center"/>
              <w:rPr>
                <w:rFonts w:hint="eastAsia" w:ascii="宋体" w:hAnsi="宋体" w:eastAsia="宋体" w:cs="宋体"/>
                <w:b w:val="0"/>
                <w:bCs w:val="0"/>
                <w:sz w:val="24"/>
                <w:szCs w:val="24"/>
                <w:vertAlign w:val="baseline"/>
                <w:lang w:val="en-US" w:eastAsia="zh-CN"/>
              </w:rPr>
            </w:pPr>
          </w:p>
          <w:p>
            <w:pPr>
              <w:widowControl w:val="0"/>
              <w:numPr>
                <w:ilvl w:val="0"/>
                <w:numId w:val="0"/>
              </w:numPr>
              <w:spacing w:line="240" w:lineRule="auto"/>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4" w:type="dxa"/>
          </w:tcPr>
          <w:p>
            <w:pPr>
              <w:widowControl w:val="0"/>
              <w:numPr>
                <w:ilvl w:val="0"/>
                <w:numId w:val="0"/>
              </w:numPr>
              <w:spacing w:line="240" w:lineRule="auto"/>
              <w:jc w:val="center"/>
              <w:rPr>
                <w:rFonts w:hint="eastAsia" w:ascii="宋体" w:hAnsi="宋体" w:eastAsia="宋体" w:cs="宋体"/>
                <w:b w:val="0"/>
                <w:bCs w:val="0"/>
                <w:sz w:val="24"/>
                <w:szCs w:val="24"/>
                <w:vertAlign w:val="baseline"/>
                <w:lang w:val="en-US" w:eastAsia="zh-CN"/>
              </w:rPr>
            </w:pPr>
          </w:p>
          <w:p>
            <w:pPr>
              <w:widowControl w:val="0"/>
              <w:numPr>
                <w:ilvl w:val="0"/>
                <w:numId w:val="0"/>
              </w:numPr>
              <w:spacing w:line="240" w:lineRule="auto"/>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8</w:t>
            </w:r>
          </w:p>
        </w:tc>
        <w:tc>
          <w:tcPr>
            <w:tcW w:w="3105" w:type="dxa"/>
          </w:tcPr>
          <w:p>
            <w:pPr>
              <w:widowControl w:val="0"/>
              <w:numPr>
                <w:ilvl w:val="0"/>
                <w:numId w:val="0"/>
              </w:numPr>
              <w:spacing w:line="360" w:lineRule="auto"/>
              <w:jc w:val="left"/>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安全管理制度、岗位职责、应急预案、开展安全生产月活动方案等</w:t>
            </w:r>
          </w:p>
        </w:tc>
        <w:tc>
          <w:tcPr>
            <w:tcW w:w="3705" w:type="dxa"/>
          </w:tcPr>
          <w:p>
            <w:pPr>
              <w:widowControl w:val="0"/>
              <w:numPr>
                <w:ilvl w:val="0"/>
                <w:numId w:val="0"/>
              </w:numPr>
              <w:spacing w:line="360" w:lineRule="auto"/>
              <w:jc w:val="left"/>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满分15分，每差一项扣3分。</w:t>
            </w:r>
          </w:p>
        </w:tc>
        <w:tc>
          <w:tcPr>
            <w:tcW w:w="968" w:type="dxa"/>
          </w:tcPr>
          <w:p>
            <w:pPr>
              <w:widowControl w:val="0"/>
              <w:numPr>
                <w:ilvl w:val="0"/>
                <w:numId w:val="0"/>
              </w:numPr>
              <w:spacing w:line="240" w:lineRule="auto"/>
              <w:jc w:val="center"/>
              <w:rPr>
                <w:rFonts w:hint="eastAsia" w:ascii="宋体" w:hAnsi="宋体" w:eastAsia="宋体" w:cs="宋体"/>
                <w:b w:val="0"/>
                <w:bCs w:val="0"/>
                <w:sz w:val="24"/>
                <w:szCs w:val="24"/>
                <w:vertAlign w:val="baseline"/>
                <w:lang w:val="en-US" w:eastAsia="zh-CN"/>
              </w:rPr>
            </w:pPr>
          </w:p>
          <w:p>
            <w:pPr>
              <w:widowControl w:val="0"/>
              <w:numPr>
                <w:ilvl w:val="0"/>
                <w:numId w:val="0"/>
              </w:numPr>
              <w:spacing w:line="240" w:lineRule="auto"/>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15分</w:t>
            </w:r>
          </w:p>
        </w:tc>
      </w:tr>
    </w:tbl>
    <w:p>
      <w:pPr>
        <w:widowControl w:val="0"/>
        <w:numPr>
          <w:ilvl w:val="0"/>
          <w:numId w:val="0"/>
        </w:numPr>
        <w:spacing w:line="240" w:lineRule="auto"/>
        <w:jc w:val="left"/>
        <w:rPr>
          <w:rFonts w:hint="eastAsia" w:ascii="宋体" w:hAnsi="宋体" w:eastAsia="宋体" w:cs="宋体"/>
          <w:b w:val="0"/>
          <w:bCs w:val="0"/>
          <w:sz w:val="24"/>
          <w:szCs w:val="24"/>
          <w:lang w:val="en-US" w:eastAsia="zh-CN"/>
        </w:rPr>
      </w:pPr>
    </w:p>
    <w:p>
      <w:pPr>
        <w:widowControl w:val="0"/>
        <w:numPr>
          <w:ilvl w:val="0"/>
          <w:numId w:val="0"/>
        </w:numPr>
        <w:spacing w:line="360" w:lineRule="auto"/>
        <w:ind w:firstLine="480" w:firstLineChars="20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4、根据评分结果，确定中标单位，中标单位五天内与招标人签订合同，否则视为放弃。</w:t>
      </w:r>
    </w:p>
    <w:p>
      <w:pPr>
        <w:widowControl w:val="0"/>
        <w:numPr>
          <w:ilvl w:val="0"/>
          <w:numId w:val="0"/>
        </w:numPr>
        <w:spacing w:line="360" w:lineRule="auto"/>
        <w:ind w:firstLine="480" w:firstLineChars="20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5、本招标书于2023年8月22日在重庆鼎发实业股份有限公司官网（http://www.cqdingfa.com/）予以公示。</w:t>
      </w:r>
    </w:p>
    <w:p>
      <w:pPr>
        <w:widowControl w:val="0"/>
        <w:numPr>
          <w:ilvl w:val="0"/>
          <w:numId w:val="0"/>
        </w:numPr>
        <w:spacing w:line="360" w:lineRule="auto"/>
        <w:ind w:firstLine="480" w:firstLineChars="200"/>
        <w:jc w:val="left"/>
        <w:rPr>
          <w:rFonts w:hint="eastAsia" w:ascii="宋体" w:hAnsi="宋体" w:eastAsia="宋体" w:cs="宋体"/>
          <w:b w:val="0"/>
          <w:bCs w:val="0"/>
          <w:sz w:val="24"/>
          <w:szCs w:val="24"/>
          <w:lang w:val="en-US" w:eastAsia="zh-CN"/>
        </w:rPr>
      </w:pPr>
    </w:p>
    <w:p>
      <w:pPr>
        <w:widowControl w:val="0"/>
        <w:numPr>
          <w:ilvl w:val="0"/>
          <w:numId w:val="0"/>
        </w:numPr>
        <w:spacing w:line="360" w:lineRule="auto"/>
        <w:ind w:firstLine="480" w:firstLineChars="200"/>
        <w:jc w:val="left"/>
        <w:rPr>
          <w:rFonts w:hint="eastAsia" w:ascii="宋体" w:hAnsi="宋体" w:eastAsia="宋体" w:cs="宋体"/>
          <w:b w:val="0"/>
          <w:bCs w:val="0"/>
          <w:sz w:val="24"/>
          <w:szCs w:val="24"/>
          <w:lang w:val="en-US" w:eastAsia="zh-CN"/>
        </w:rPr>
      </w:pPr>
    </w:p>
    <w:p>
      <w:pPr>
        <w:widowControl w:val="0"/>
        <w:numPr>
          <w:ilvl w:val="0"/>
          <w:numId w:val="0"/>
        </w:numPr>
        <w:spacing w:line="360" w:lineRule="auto"/>
        <w:ind w:firstLine="480" w:firstLineChars="200"/>
        <w:jc w:val="left"/>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联系电话：</w:t>
      </w:r>
      <w:r>
        <w:rPr>
          <w:rFonts w:hint="eastAsia" w:ascii="宋体" w:hAnsi="宋体" w:eastAsia="宋体" w:cs="宋体"/>
          <w:b w:val="0"/>
          <w:bCs w:val="0"/>
          <w:sz w:val="24"/>
          <w:szCs w:val="24"/>
          <w:lang w:val="en-US" w:eastAsia="zh-CN"/>
        </w:rPr>
        <w:t>张</w:t>
      </w:r>
      <w:r>
        <w:rPr>
          <w:rFonts w:hint="default" w:ascii="宋体" w:hAnsi="宋体" w:eastAsia="宋体" w:cs="宋体"/>
          <w:b w:val="0"/>
          <w:bCs w:val="0"/>
          <w:sz w:val="24"/>
          <w:szCs w:val="24"/>
          <w:lang w:val="en-US" w:eastAsia="zh-CN"/>
        </w:rPr>
        <w:t xml:space="preserve">老师  </w:t>
      </w:r>
      <w:r>
        <w:rPr>
          <w:rFonts w:hint="eastAsia" w:ascii="宋体" w:hAnsi="宋体" w:eastAsia="宋体" w:cs="宋体"/>
          <w:b w:val="0"/>
          <w:bCs w:val="0"/>
          <w:sz w:val="24"/>
          <w:szCs w:val="24"/>
          <w:lang w:val="en-US" w:eastAsia="zh-CN"/>
        </w:rPr>
        <w:t>15520148666</w:t>
      </w:r>
      <w:r>
        <w:rPr>
          <w:rFonts w:hint="default"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lang w:val="en-US" w:eastAsia="zh-CN"/>
        </w:rPr>
        <w:t>易老师  13983305773</w:t>
      </w:r>
    </w:p>
    <w:p>
      <w:pPr>
        <w:widowControl w:val="0"/>
        <w:numPr>
          <w:ilvl w:val="0"/>
          <w:numId w:val="0"/>
        </w:numPr>
        <w:spacing w:line="360" w:lineRule="auto"/>
        <w:ind w:firstLine="480" w:firstLineChars="200"/>
        <w:jc w:val="left"/>
        <w:rPr>
          <w:rFonts w:hint="default" w:ascii="宋体" w:hAnsi="宋体" w:eastAsia="宋体" w:cs="宋体"/>
          <w:b w:val="0"/>
          <w:bCs w:val="0"/>
          <w:sz w:val="24"/>
          <w:szCs w:val="24"/>
          <w:lang w:val="en-US" w:eastAsia="zh-CN"/>
        </w:rPr>
      </w:pPr>
      <w:r>
        <w:rPr>
          <w:rFonts w:hint="default" w:ascii="宋体" w:hAnsi="宋体" w:eastAsia="宋体" w:cs="宋体"/>
          <w:b w:val="0"/>
          <w:bCs w:val="0"/>
          <w:sz w:val="24"/>
          <w:szCs w:val="24"/>
          <w:lang w:val="en-US" w:eastAsia="zh-CN"/>
        </w:rPr>
        <w:t>邮箱：</w:t>
      </w:r>
      <w:r>
        <w:rPr>
          <w:rFonts w:hint="eastAsia" w:ascii="宋体" w:hAnsi="宋体" w:eastAsia="宋体" w:cs="宋体"/>
          <w:b w:val="0"/>
          <w:bCs w:val="0"/>
          <w:sz w:val="24"/>
          <w:szCs w:val="24"/>
          <w:lang w:val="en-US" w:eastAsia="zh-CN"/>
        </w:rPr>
        <w:t>396416775</w:t>
      </w:r>
      <w:r>
        <w:rPr>
          <w:rFonts w:hint="default" w:ascii="宋体" w:hAnsi="宋体" w:eastAsia="宋体" w:cs="宋体"/>
          <w:b w:val="0"/>
          <w:bCs w:val="0"/>
          <w:sz w:val="24"/>
          <w:szCs w:val="24"/>
          <w:lang w:val="en-US" w:eastAsia="zh-CN"/>
        </w:rPr>
        <w:t>@qq.com</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jc w:val="both"/>
        <w:textAlignment w:val="auto"/>
        <w:rPr>
          <w:rFonts w:hint="default" w:ascii="方正仿宋_GBK" w:hAnsi="方正仿宋_GBK" w:eastAsia="方正仿宋_GBK" w:cs="方正仿宋_GBK"/>
          <w:sz w:val="32"/>
          <w:szCs w:val="32"/>
          <w:lang w:val="en-US" w:eastAsia="zh-CN"/>
        </w:rPr>
      </w:pPr>
      <w:r>
        <w:rPr>
          <w:rFonts w:hint="default" w:ascii="方正仿宋_GBK" w:hAnsi="方正仿宋_GBK" w:eastAsia="方正仿宋_GBK" w:cs="方正仿宋_GBK"/>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95" w:lineRule="exact"/>
        <w:jc w:val="both"/>
        <w:textAlignment w:val="auto"/>
        <w:rPr>
          <w:rFonts w:hint="eastAsia" w:ascii="方正仿宋_GBK" w:hAnsi="方正仿宋_GBK" w:eastAsia="方正仿宋_GBK" w:cs="方正仿宋_GBK"/>
          <w:sz w:val="32"/>
          <w:szCs w:val="32"/>
          <w:lang w:val="en-US" w:eastAsia="zh-CN"/>
        </w:rPr>
      </w:pPr>
    </w:p>
    <w:p>
      <w:pPr>
        <w:widowControl w:val="0"/>
        <w:numPr>
          <w:ilvl w:val="0"/>
          <w:numId w:val="0"/>
        </w:numPr>
        <w:spacing w:line="360" w:lineRule="auto"/>
        <w:ind w:firstLine="480" w:firstLineChars="200"/>
        <w:jc w:val="righ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重庆博杰能源有限公司</w:t>
      </w:r>
    </w:p>
    <w:p>
      <w:pPr>
        <w:widowControl w:val="0"/>
        <w:numPr>
          <w:ilvl w:val="0"/>
          <w:numId w:val="0"/>
        </w:numPr>
        <w:spacing w:line="360" w:lineRule="auto"/>
        <w:ind w:firstLine="480" w:firstLineChars="200"/>
        <w:jc w:val="left"/>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 xml:space="preserve">                                               2023年8月22日</w:t>
      </w:r>
    </w:p>
    <w:p>
      <w:pPr>
        <w:widowControl w:val="0"/>
        <w:numPr>
          <w:ilvl w:val="0"/>
          <w:numId w:val="0"/>
        </w:numPr>
        <w:spacing w:line="360" w:lineRule="auto"/>
        <w:jc w:val="center"/>
        <w:rPr>
          <w:rFonts w:hint="eastAsia" w:ascii="宋体" w:hAnsi="宋体" w:eastAsia="宋体" w:cs="宋体"/>
          <w:b w:val="0"/>
          <w:bCs w:val="0"/>
          <w:sz w:val="28"/>
          <w:szCs w:val="28"/>
          <w:lang w:val="en-US" w:eastAsia="zh-CN"/>
        </w:rPr>
      </w:pPr>
    </w:p>
    <w:p>
      <w:pPr>
        <w:widowControl w:val="0"/>
        <w:numPr>
          <w:ilvl w:val="0"/>
          <w:numId w:val="0"/>
        </w:numPr>
        <w:spacing w:line="360" w:lineRule="auto"/>
        <w:jc w:val="center"/>
        <w:rPr>
          <w:rFonts w:hint="eastAsia" w:ascii="宋体" w:hAnsi="宋体" w:eastAsia="宋体" w:cs="宋体"/>
          <w:b w:val="0"/>
          <w:bCs w:val="0"/>
          <w:sz w:val="28"/>
          <w:szCs w:val="28"/>
          <w:lang w:val="en-US" w:eastAsia="zh-CN"/>
        </w:rPr>
      </w:pPr>
    </w:p>
    <w:p>
      <w:pPr>
        <w:widowControl w:val="0"/>
        <w:numPr>
          <w:ilvl w:val="0"/>
          <w:numId w:val="0"/>
        </w:numPr>
        <w:spacing w:line="360" w:lineRule="auto"/>
        <w:jc w:val="center"/>
        <w:rPr>
          <w:rFonts w:hint="eastAsia" w:ascii="宋体" w:hAnsi="宋体" w:eastAsia="宋体" w:cs="宋体"/>
          <w:b w:val="0"/>
          <w:bCs w:val="0"/>
          <w:sz w:val="36"/>
          <w:szCs w:val="36"/>
          <w:lang w:val="en-US" w:eastAsia="zh-CN"/>
        </w:rPr>
      </w:pPr>
    </w:p>
    <w:p>
      <w:pPr>
        <w:widowControl w:val="0"/>
        <w:numPr>
          <w:ilvl w:val="0"/>
          <w:numId w:val="0"/>
        </w:numPr>
        <w:spacing w:line="360" w:lineRule="auto"/>
        <w:jc w:val="center"/>
        <w:rPr>
          <w:rFonts w:hint="eastAsia" w:ascii="宋体" w:hAnsi="宋体" w:eastAsia="宋体" w:cs="宋体"/>
          <w:b w:val="0"/>
          <w:bCs w:val="0"/>
          <w:sz w:val="36"/>
          <w:szCs w:val="36"/>
          <w:lang w:val="en-US" w:eastAsia="zh-CN"/>
        </w:rPr>
      </w:pPr>
    </w:p>
    <w:p>
      <w:pPr>
        <w:widowControl w:val="0"/>
        <w:numPr>
          <w:ilvl w:val="0"/>
          <w:numId w:val="0"/>
        </w:numPr>
        <w:spacing w:line="360" w:lineRule="auto"/>
        <w:jc w:val="center"/>
        <w:rPr>
          <w:rFonts w:hint="eastAsia" w:ascii="宋体" w:hAnsi="宋体" w:eastAsia="宋体" w:cs="宋体"/>
          <w:b w:val="0"/>
          <w:bCs w:val="0"/>
          <w:sz w:val="36"/>
          <w:szCs w:val="36"/>
          <w:lang w:val="en-US" w:eastAsia="zh-CN"/>
        </w:rPr>
      </w:pPr>
    </w:p>
    <w:p>
      <w:pPr>
        <w:widowControl w:val="0"/>
        <w:numPr>
          <w:ilvl w:val="0"/>
          <w:numId w:val="0"/>
        </w:numPr>
        <w:spacing w:line="360" w:lineRule="auto"/>
        <w:jc w:val="center"/>
        <w:rPr>
          <w:rFonts w:hint="eastAsia" w:ascii="宋体" w:hAnsi="宋体" w:eastAsia="宋体" w:cs="宋体"/>
          <w:b w:val="0"/>
          <w:bCs w:val="0"/>
          <w:sz w:val="36"/>
          <w:szCs w:val="36"/>
          <w:lang w:val="en-US" w:eastAsia="zh-CN"/>
        </w:rPr>
      </w:pPr>
    </w:p>
    <w:p>
      <w:pPr>
        <w:widowControl w:val="0"/>
        <w:numPr>
          <w:ilvl w:val="0"/>
          <w:numId w:val="0"/>
        </w:numPr>
        <w:spacing w:line="360" w:lineRule="auto"/>
        <w:jc w:val="center"/>
        <w:rPr>
          <w:rFonts w:hint="eastAsia" w:ascii="宋体" w:hAnsi="宋体" w:eastAsia="宋体" w:cs="宋体"/>
          <w:b w:val="0"/>
          <w:bCs w:val="0"/>
          <w:sz w:val="36"/>
          <w:szCs w:val="36"/>
          <w:lang w:val="en-US" w:eastAsia="zh-CN"/>
        </w:rPr>
      </w:pPr>
    </w:p>
    <w:p>
      <w:pPr>
        <w:widowControl w:val="0"/>
        <w:numPr>
          <w:ilvl w:val="0"/>
          <w:numId w:val="0"/>
        </w:numPr>
        <w:spacing w:line="360" w:lineRule="auto"/>
        <w:jc w:val="center"/>
        <w:rPr>
          <w:rFonts w:hint="eastAsia" w:ascii="宋体" w:hAnsi="宋体" w:eastAsia="宋体" w:cs="宋体"/>
          <w:b w:val="0"/>
          <w:bCs w:val="0"/>
          <w:sz w:val="36"/>
          <w:szCs w:val="36"/>
          <w:lang w:val="en-US" w:eastAsia="zh-CN"/>
        </w:rPr>
      </w:pPr>
    </w:p>
    <w:p>
      <w:pPr>
        <w:widowControl w:val="0"/>
        <w:numPr>
          <w:ilvl w:val="0"/>
          <w:numId w:val="0"/>
        </w:numPr>
        <w:spacing w:line="360" w:lineRule="auto"/>
        <w:jc w:val="center"/>
        <w:rPr>
          <w:rFonts w:hint="eastAsia" w:ascii="宋体" w:hAnsi="宋体" w:eastAsia="宋体" w:cs="宋体"/>
          <w:b w:val="0"/>
          <w:bCs w:val="0"/>
          <w:sz w:val="36"/>
          <w:szCs w:val="36"/>
          <w:lang w:val="en-US" w:eastAsia="zh-CN"/>
        </w:rPr>
      </w:pPr>
    </w:p>
    <w:p>
      <w:pPr>
        <w:widowControl w:val="0"/>
        <w:numPr>
          <w:ilvl w:val="0"/>
          <w:numId w:val="0"/>
        </w:numPr>
        <w:spacing w:line="360" w:lineRule="auto"/>
        <w:jc w:val="center"/>
        <w:rPr>
          <w:rFonts w:hint="eastAsia" w:ascii="宋体" w:hAnsi="宋体" w:eastAsia="宋体" w:cs="宋体"/>
          <w:b w:val="0"/>
          <w:bCs w:val="0"/>
          <w:sz w:val="36"/>
          <w:szCs w:val="36"/>
          <w:lang w:val="en-US" w:eastAsia="zh-CN"/>
        </w:rPr>
      </w:pPr>
    </w:p>
    <w:p>
      <w:pPr>
        <w:widowControl w:val="0"/>
        <w:numPr>
          <w:ilvl w:val="0"/>
          <w:numId w:val="0"/>
        </w:numPr>
        <w:spacing w:line="360" w:lineRule="auto"/>
        <w:jc w:val="center"/>
        <w:rPr>
          <w:rFonts w:hint="eastAsia" w:ascii="宋体" w:hAnsi="宋体" w:eastAsia="宋体" w:cs="宋体"/>
          <w:b w:val="0"/>
          <w:bCs w:val="0"/>
          <w:sz w:val="36"/>
          <w:szCs w:val="36"/>
          <w:lang w:val="en-US" w:eastAsia="zh-CN"/>
        </w:rPr>
      </w:pPr>
    </w:p>
    <w:p>
      <w:pPr>
        <w:widowControl w:val="0"/>
        <w:numPr>
          <w:ilvl w:val="0"/>
          <w:numId w:val="0"/>
        </w:numPr>
        <w:spacing w:line="360" w:lineRule="auto"/>
        <w:jc w:val="center"/>
        <w:rPr>
          <w:rFonts w:hint="eastAsia" w:ascii="宋体" w:hAnsi="宋体" w:eastAsia="宋体" w:cs="宋体"/>
          <w:b w:val="0"/>
          <w:bCs w:val="0"/>
          <w:sz w:val="36"/>
          <w:szCs w:val="36"/>
          <w:lang w:val="en-US" w:eastAsia="zh-CN"/>
        </w:rPr>
      </w:pPr>
    </w:p>
    <w:p>
      <w:pPr>
        <w:widowControl w:val="0"/>
        <w:numPr>
          <w:ilvl w:val="0"/>
          <w:numId w:val="0"/>
        </w:numPr>
        <w:spacing w:line="360" w:lineRule="auto"/>
        <w:jc w:val="center"/>
        <w:rPr>
          <w:rFonts w:hint="eastAsia" w:ascii="宋体" w:hAnsi="宋体" w:eastAsia="宋体" w:cs="宋体"/>
          <w:b w:val="0"/>
          <w:bCs w:val="0"/>
          <w:sz w:val="36"/>
          <w:szCs w:val="36"/>
          <w:lang w:val="en-US" w:eastAsia="zh-CN"/>
        </w:rPr>
      </w:pPr>
    </w:p>
    <w:p>
      <w:pPr>
        <w:widowControl w:val="0"/>
        <w:numPr>
          <w:ilvl w:val="0"/>
          <w:numId w:val="0"/>
        </w:numPr>
        <w:spacing w:line="360" w:lineRule="auto"/>
        <w:jc w:val="center"/>
        <w:rPr>
          <w:rFonts w:hint="eastAsia" w:ascii="宋体" w:hAnsi="宋体" w:eastAsia="宋体" w:cs="宋体"/>
          <w:b w:val="0"/>
          <w:bCs w:val="0"/>
          <w:sz w:val="36"/>
          <w:szCs w:val="36"/>
          <w:lang w:val="en-US" w:eastAsia="zh-CN"/>
        </w:rPr>
      </w:pPr>
    </w:p>
    <w:p>
      <w:pPr>
        <w:widowControl w:val="0"/>
        <w:numPr>
          <w:ilvl w:val="0"/>
          <w:numId w:val="0"/>
        </w:numPr>
        <w:spacing w:line="360" w:lineRule="auto"/>
        <w:jc w:val="center"/>
        <w:rPr>
          <w:rFonts w:hint="eastAsia" w:ascii="宋体" w:hAnsi="宋体" w:eastAsia="宋体" w:cs="宋体"/>
          <w:b w:val="0"/>
          <w:bCs w:val="0"/>
          <w:sz w:val="36"/>
          <w:szCs w:val="36"/>
          <w:lang w:val="en-US" w:eastAsia="zh-CN"/>
        </w:rPr>
      </w:pPr>
    </w:p>
    <w:p>
      <w:pPr>
        <w:widowControl w:val="0"/>
        <w:numPr>
          <w:ilvl w:val="0"/>
          <w:numId w:val="0"/>
        </w:numPr>
        <w:spacing w:line="360" w:lineRule="auto"/>
        <w:jc w:val="center"/>
        <w:rPr>
          <w:rFonts w:hint="eastAsia" w:ascii="宋体" w:hAnsi="宋体" w:eastAsia="宋体" w:cs="宋体"/>
          <w:b w:val="0"/>
          <w:bCs w:val="0"/>
          <w:sz w:val="36"/>
          <w:szCs w:val="36"/>
          <w:lang w:val="en-US" w:eastAsia="zh-CN"/>
        </w:rPr>
      </w:pPr>
    </w:p>
    <w:p>
      <w:pPr>
        <w:widowControl w:val="0"/>
        <w:numPr>
          <w:ilvl w:val="0"/>
          <w:numId w:val="0"/>
        </w:numPr>
        <w:spacing w:line="360" w:lineRule="auto"/>
        <w:jc w:val="center"/>
        <w:rPr>
          <w:rFonts w:hint="eastAsia" w:ascii="宋体" w:hAnsi="宋体" w:eastAsia="宋体" w:cs="宋体"/>
          <w:b w:val="0"/>
          <w:bCs w:val="0"/>
          <w:sz w:val="36"/>
          <w:szCs w:val="36"/>
          <w:lang w:val="en-US" w:eastAsia="zh-CN"/>
        </w:rPr>
      </w:pPr>
      <w:r>
        <w:rPr>
          <w:rFonts w:hint="eastAsia" w:ascii="宋体" w:hAnsi="宋体" w:eastAsia="宋体" w:cs="宋体"/>
          <w:b w:val="0"/>
          <w:bCs w:val="0"/>
          <w:sz w:val="36"/>
          <w:szCs w:val="36"/>
          <w:lang w:val="en-US" w:eastAsia="zh-CN"/>
        </w:rPr>
        <w:t>法人代表授权书</w:t>
      </w:r>
    </w:p>
    <w:p>
      <w:pPr>
        <w:widowControl w:val="0"/>
        <w:numPr>
          <w:ilvl w:val="0"/>
          <w:numId w:val="0"/>
        </w:numPr>
        <w:spacing w:line="360" w:lineRule="auto"/>
        <w:jc w:val="both"/>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致：重庆博杰能源有限公司</w:t>
      </w:r>
    </w:p>
    <w:p>
      <w:pPr>
        <w:widowControl w:val="0"/>
        <w:numPr>
          <w:ilvl w:val="0"/>
          <w:numId w:val="0"/>
        </w:numPr>
        <w:spacing w:line="360" w:lineRule="auto"/>
        <w:ind w:firstLine="840" w:firstLineChars="300"/>
        <w:jc w:val="both"/>
        <w:rPr>
          <w:rFonts w:hint="eastAsia" w:ascii="宋体" w:hAnsi="宋体" w:eastAsia="宋体" w:cs="宋体"/>
          <w:b w:val="0"/>
          <w:bCs w:val="0"/>
          <w:sz w:val="28"/>
          <w:szCs w:val="28"/>
          <w:u w:val="single"/>
          <w:lang w:val="en-US" w:eastAsia="zh-CN"/>
        </w:rPr>
      </w:pPr>
      <w:r>
        <w:rPr>
          <w:rFonts w:hint="eastAsia" w:ascii="宋体" w:hAnsi="宋体" w:eastAsia="宋体" w:cs="宋体"/>
          <w:b w:val="0"/>
          <w:bCs w:val="0"/>
          <w:sz w:val="28"/>
          <w:szCs w:val="28"/>
          <w:u w:val="single"/>
          <w:lang w:val="en-US" w:eastAsia="zh-CN"/>
        </w:rPr>
        <w:t xml:space="preserve">                 </w:t>
      </w:r>
      <w:r>
        <w:rPr>
          <w:rFonts w:hint="eastAsia" w:ascii="宋体" w:hAnsi="宋体" w:eastAsia="宋体" w:cs="宋体"/>
          <w:b w:val="0"/>
          <w:bCs w:val="0"/>
          <w:sz w:val="28"/>
          <w:szCs w:val="28"/>
          <w:u w:val="none"/>
          <w:lang w:val="en-US" w:eastAsia="zh-CN"/>
        </w:rPr>
        <w:t>（投标人全称）法定代表人</w:t>
      </w:r>
      <w:r>
        <w:rPr>
          <w:rFonts w:hint="eastAsia" w:ascii="宋体" w:hAnsi="宋体" w:eastAsia="宋体" w:cs="宋体"/>
          <w:b w:val="0"/>
          <w:bCs w:val="0"/>
          <w:sz w:val="28"/>
          <w:szCs w:val="28"/>
          <w:u w:val="single"/>
          <w:lang w:val="en-US" w:eastAsia="zh-CN"/>
        </w:rPr>
        <w:t xml:space="preserve">           </w:t>
      </w:r>
      <w:r>
        <w:rPr>
          <w:rFonts w:hint="eastAsia" w:ascii="宋体" w:hAnsi="宋体" w:eastAsia="宋体" w:cs="宋体"/>
          <w:b w:val="0"/>
          <w:bCs w:val="0"/>
          <w:sz w:val="28"/>
          <w:szCs w:val="28"/>
          <w:u w:val="none"/>
          <w:lang w:val="en-US" w:eastAsia="zh-CN"/>
        </w:rPr>
        <w:t>授权</w:t>
      </w:r>
      <w:r>
        <w:rPr>
          <w:rFonts w:hint="eastAsia" w:ascii="宋体" w:hAnsi="宋体" w:eastAsia="宋体" w:cs="宋体"/>
          <w:b w:val="0"/>
          <w:bCs w:val="0"/>
          <w:sz w:val="28"/>
          <w:szCs w:val="28"/>
          <w:u w:val="single"/>
          <w:lang w:val="en-US" w:eastAsia="zh-CN"/>
        </w:rPr>
        <w:t xml:space="preserve">         （</w:t>
      </w:r>
      <w:r>
        <w:rPr>
          <w:rFonts w:hint="eastAsia" w:ascii="宋体" w:hAnsi="宋体" w:eastAsia="宋体" w:cs="宋体"/>
          <w:b w:val="0"/>
          <w:bCs w:val="0"/>
          <w:sz w:val="28"/>
          <w:szCs w:val="28"/>
          <w:u w:val="none"/>
          <w:lang w:val="en-US" w:eastAsia="zh-CN"/>
        </w:rPr>
        <w:t>授权代表姓名）为本公司的合法代理人，参加</w:t>
      </w:r>
      <w:r>
        <w:rPr>
          <w:rFonts w:hint="eastAsia" w:ascii="宋体" w:hAnsi="宋体" w:eastAsia="宋体" w:cs="宋体"/>
          <w:b w:val="0"/>
          <w:bCs w:val="0"/>
          <w:sz w:val="28"/>
          <w:szCs w:val="28"/>
          <w:u w:val="single"/>
          <w:lang w:val="en-US" w:eastAsia="zh-CN"/>
        </w:rPr>
        <w:t xml:space="preserve">         </w:t>
      </w:r>
      <w:r>
        <w:rPr>
          <w:rFonts w:hint="eastAsia" w:ascii="宋体" w:hAnsi="宋体" w:eastAsia="宋体" w:cs="宋体"/>
          <w:b w:val="0"/>
          <w:bCs w:val="0"/>
          <w:sz w:val="28"/>
          <w:szCs w:val="28"/>
          <w:u w:val="none"/>
          <w:lang w:val="en-US" w:eastAsia="zh-CN"/>
        </w:rPr>
        <w:t>项目名称</w:t>
      </w:r>
      <w:r>
        <w:rPr>
          <w:rFonts w:hint="eastAsia"/>
          <w:sz w:val="28"/>
          <w:szCs w:val="28"/>
        </w:rPr>
        <w:t>LNG运输第三方物流企业</w:t>
      </w:r>
      <w:r>
        <w:rPr>
          <w:rFonts w:hint="eastAsia" w:ascii="宋体" w:hAnsi="宋体" w:eastAsia="宋体" w:cs="宋体"/>
          <w:b w:val="0"/>
          <w:bCs w:val="0"/>
          <w:sz w:val="28"/>
          <w:szCs w:val="28"/>
          <w:u w:val="none"/>
          <w:lang w:val="en-US" w:eastAsia="zh-CN"/>
        </w:rPr>
        <w:t>（招标编号:</w:t>
      </w:r>
      <w:r>
        <w:rPr>
          <w:rFonts w:hint="eastAsia"/>
          <w:sz w:val="28"/>
          <w:szCs w:val="28"/>
        </w:rPr>
        <w:t>CQBJ-20</w:t>
      </w:r>
      <w:r>
        <w:rPr>
          <w:rFonts w:hint="eastAsia"/>
          <w:sz w:val="28"/>
          <w:szCs w:val="28"/>
          <w:lang w:val="en-US" w:eastAsia="zh-CN"/>
        </w:rPr>
        <w:t>23</w:t>
      </w:r>
      <w:r>
        <w:rPr>
          <w:rFonts w:hint="eastAsia"/>
          <w:sz w:val="28"/>
          <w:szCs w:val="28"/>
        </w:rPr>
        <w:t>-</w:t>
      </w:r>
      <w:r>
        <w:rPr>
          <w:rFonts w:hint="eastAsia"/>
          <w:sz w:val="28"/>
          <w:szCs w:val="28"/>
          <w:lang w:val="en-US" w:eastAsia="zh-CN"/>
        </w:rPr>
        <w:t>0825</w:t>
      </w:r>
      <w:r>
        <w:rPr>
          <w:rFonts w:hint="eastAsia" w:ascii="宋体" w:hAnsi="宋体" w:eastAsia="宋体" w:cs="宋体"/>
          <w:b w:val="0"/>
          <w:bCs w:val="0"/>
          <w:sz w:val="28"/>
          <w:szCs w:val="28"/>
          <w:u w:val="none"/>
          <w:lang w:val="en-US" w:eastAsia="zh-CN"/>
        </w:rPr>
        <w:t>）的投标活动，以本公司名义全权处理一切与之有关的事务。</w:t>
      </w:r>
    </w:p>
    <w:p>
      <w:pPr>
        <w:widowControl w:val="0"/>
        <w:numPr>
          <w:ilvl w:val="0"/>
          <w:numId w:val="0"/>
        </w:numPr>
        <w:spacing w:line="600" w:lineRule="auto"/>
        <w:ind w:firstLine="280" w:firstLineChars="100"/>
        <w:jc w:val="both"/>
        <w:rPr>
          <w:rFonts w:hint="eastAsia" w:ascii="宋体" w:hAnsi="宋体" w:eastAsia="宋体" w:cs="宋体"/>
          <w:b w:val="0"/>
          <w:bCs w:val="0"/>
          <w:sz w:val="28"/>
          <w:szCs w:val="28"/>
          <w:u w:val="none"/>
          <w:lang w:val="en-US" w:eastAsia="zh-CN"/>
        </w:rPr>
      </w:pPr>
      <w:r>
        <w:rPr>
          <w:rFonts w:hint="eastAsia" w:ascii="宋体" w:hAnsi="宋体" w:eastAsia="宋体" w:cs="宋体"/>
          <w:b w:val="0"/>
          <w:bCs w:val="0"/>
          <w:sz w:val="28"/>
          <w:szCs w:val="28"/>
          <w:u w:val="none"/>
          <w:lang w:val="en-US" w:eastAsia="zh-CN"/>
        </w:rPr>
        <w:t>本授权书于    年    月    日签字生效，特此声明。</w:t>
      </w:r>
    </w:p>
    <w:p>
      <w:pPr>
        <w:widowControl w:val="0"/>
        <w:numPr>
          <w:ilvl w:val="0"/>
          <w:numId w:val="0"/>
        </w:numPr>
        <w:spacing w:line="360" w:lineRule="auto"/>
        <w:ind w:firstLine="280" w:firstLineChars="100"/>
        <w:jc w:val="both"/>
        <w:rPr>
          <w:rFonts w:hint="eastAsia" w:ascii="宋体" w:hAnsi="宋体" w:eastAsia="宋体" w:cs="宋体"/>
          <w:b w:val="0"/>
          <w:bCs w:val="0"/>
          <w:sz w:val="28"/>
          <w:szCs w:val="28"/>
          <w:u w:val="single"/>
          <w:lang w:val="en-US" w:eastAsia="zh-CN"/>
        </w:rPr>
      </w:pPr>
    </w:p>
    <w:p>
      <w:pPr>
        <w:widowControl w:val="0"/>
        <w:numPr>
          <w:ilvl w:val="0"/>
          <w:numId w:val="0"/>
        </w:numPr>
        <w:spacing w:line="360" w:lineRule="auto"/>
        <w:ind w:firstLine="280" w:firstLineChars="100"/>
        <w:jc w:val="both"/>
        <w:rPr>
          <w:rFonts w:hint="eastAsia" w:ascii="宋体" w:hAnsi="宋体" w:eastAsia="宋体" w:cs="宋体"/>
          <w:b w:val="0"/>
          <w:bCs w:val="0"/>
          <w:sz w:val="28"/>
          <w:szCs w:val="28"/>
          <w:u w:val="single"/>
          <w:lang w:val="en-US" w:eastAsia="zh-CN"/>
        </w:rPr>
      </w:pPr>
      <w:r>
        <w:rPr>
          <w:rFonts w:hint="eastAsia" w:ascii="宋体" w:hAnsi="宋体" w:eastAsia="宋体" w:cs="宋体"/>
          <w:b w:val="0"/>
          <w:bCs w:val="0"/>
          <w:sz w:val="28"/>
          <w:szCs w:val="28"/>
          <w:lang w:val="en-US" w:eastAsia="zh-CN"/>
        </w:rPr>
        <w:t xml:space="preserve">                  投标人全称（盖章）：</w:t>
      </w:r>
    </w:p>
    <w:p>
      <w:pPr>
        <w:widowControl w:val="0"/>
        <w:numPr>
          <w:ilvl w:val="0"/>
          <w:numId w:val="0"/>
        </w:numPr>
        <w:spacing w:line="360" w:lineRule="auto"/>
        <w:ind w:firstLine="280" w:firstLineChars="100"/>
        <w:jc w:val="both"/>
        <w:rPr>
          <w:rFonts w:hint="eastAsia" w:ascii="宋体" w:hAnsi="宋体" w:eastAsia="宋体" w:cs="宋体"/>
          <w:b w:val="0"/>
          <w:bCs w:val="0"/>
          <w:sz w:val="28"/>
          <w:szCs w:val="28"/>
          <w:u w:val="none"/>
          <w:lang w:val="en-US" w:eastAsia="zh-CN"/>
        </w:rPr>
      </w:pPr>
      <w:r>
        <w:rPr>
          <w:rFonts w:hint="eastAsia" w:ascii="宋体" w:hAnsi="宋体" w:eastAsia="宋体" w:cs="宋体"/>
          <w:b w:val="0"/>
          <w:bCs w:val="0"/>
          <w:sz w:val="28"/>
          <w:szCs w:val="28"/>
          <w:u w:val="none"/>
          <w:lang w:val="en-US" w:eastAsia="zh-CN"/>
        </w:rPr>
        <w:t xml:space="preserve">                  法定代表人签字或盖章：</w:t>
      </w:r>
    </w:p>
    <w:p>
      <w:pPr>
        <w:widowControl w:val="0"/>
        <w:numPr>
          <w:ilvl w:val="0"/>
          <w:numId w:val="0"/>
        </w:numPr>
        <w:spacing w:line="360" w:lineRule="auto"/>
        <w:jc w:val="left"/>
        <w:rPr>
          <w:rFonts w:hint="eastAsia" w:ascii="宋体" w:hAnsi="宋体" w:eastAsia="宋体" w:cs="宋体"/>
          <w:b w:val="0"/>
          <w:bCs w:val="0"/>
          <w:sz w:val="28"/>
          <w:szCs w:val="28"/>
          <w:lang w:val="en-US" w:eastAsia="zh-CN"/>
        </w:rPr>
      </w:pPr>
    </w:p>
    <w:p>
      <w:pPr>
        <w:widowControl w:val="0"/>
        <w:numPr>
          <w:ilvl w:val="0"/>
          <w:numId w:val="0"/>
        </w:numPr>
        <w:spacing w:line="360" w:lineRule="auto"/>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 xml:space="preserve">                  </w:t>
      </w:r>
    </w:p>
    <w:p>
      <w:pPr>
        <w:widowControl w:val="0"/>
        <w:numPr>
          <w:ilvl w:val="0"/>
          <w:numId w:val="0"/>
        </w:numPr>
        <w:spacing w:line="360" w:lineRule="auto"/>
        <w:jc w:val="left"/>
        <w:rPr>
          <w:rFonts w:hint="eastAsia" w:ascii="宋体" w:hAnsi="宋体" w:eastAsia="宋体" w:cs="宋体"/>
          <w:b w:val="0"/>
          <w:bCs w:val="0"/>
          <w:sz w:val="28"/>
          <w:szCs w:val="28"/>
          <w:lang w:val="en-US" w:eastAsia="zh-CN"/>
        </w:rPr>
      </w:pPr>
    </w:p>
    <w:p>
      <w:pPr>
        <w:widowControl w:val="0"/>
        <w:numPr>
          <w:ilvl w:val="0"/>
          <w:numId w:val="0"/>
        </w:numPr>
        <w:spacing w:line="240" w:lineRule="auto"/>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授权代表姓名：</w:t>
      </w:r>
    </w:p>
    <w:p>
      <w:pPr>
        <w:widowControl w:val="0"/>
        <w:numPr>
          <w:ilvl w:val="0"/>
          <w:numId w:val="0"/>
        </w:numPr>
        <w:spacing w:line="240" w:lineRule="auto"/>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职        务：</w:t>
      </w:r>
    </w:p>
    <w:p>
      <w:pPr>
        <w:widowControl w:val="0"/>
        <w:numPr>
          <w:ilvl w:val="0"/>
          <w:numId w:val="0"/>
        </w:numPr>
        <w:spacing w:line="240" w:lineRule="auto"/>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电        话：</w:t>
      </w:r>
    </w:p>
    <w:p>
      <w:pPr>
        <w:widowControl w:val="0"/>
        <w:numPr>
          <w:ilvl w:val="0"/>
          <w:numId w:val="0"/>
        </w:numPr>
        <w:spacing w:line="240" w:lineRule="auto"/>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详细通讯地址：</w:t>
      </w:r>
    </w:p>
    <w:p>
      <w:pPr>
        <w:widowControl w:val="0"/>
        <w:numPr>
          <w:ilvl w:val="0"/>
          <w:numId w:val="0"/>
        </w:numPr>
        <w:spacing w:line="360" w:lineRule="auto"/>
        <w:jc w:val="left"/>
        <w:rPr>
          <w:rFonts w:hint="default" w:asciiTheme="minorEastAsia" w:hAnsiTheme="minorEastAsia" w:cstheme="minorEastAsia"/>
          <w:b w:val="0"/>
          <w:bCs w:val="0"/>
          <w:sz w:val="24"/>
          <w:szCs w:val="24"/>
          <w:lang w:val="en-US" w:eastAsia="zh-CN"/>
        </w:rPr>
      </w:pPr>
    </w:p>
    <w:p>
      <w:pPr>
        <w:widowControl w:val="0"/>
        <w:numPr>
          <w:ilvl w:val="0"/>
          <w:numId w:val="0"/>
        </w:numPr>
        <w:spacing w:line="360" w:lineRule="auto"/>
        <w:jc w:val="left"/>
        <w:rPr>
          <w:rFonts w:hint="default" w:asciiTheme="minorEastAsia" w:hAnsiTheme="minorEastAsia" w:cstheme="minorEastAsia"/>
          <w:b w:val="0"/>
          <w:bCs w:val="0"/>
          <w:sz w:val="24"/>
          <w:szCs w:val="24"/>
          <w:lang w:val="en-US" w:eastAsia="zh-CN"/>
        </w:rPr>
      </w:pPr>
    </w:p>
    <w:p>
      <w:pPr>
        <w:widowControl w:val="0"/>
        <w:numPr>
          <w:ilvl w:val="0"/>
          <w:numId w:val="0"/>
        </w:numPr>
        <w:spacing w:line="360" w:lineRule="auto"/>
        <w:jc w:val="left"/>
        <w:rPr>
          <w:rFonts w:hint="default" w:asciiTheme="minorEastAsia" w:hAnsiTheme="minorEastAsia" w:cstheme="minorEastAsia"/>
          <w:b w:val="0"/>
          <w:bCs w:val="0"/>
          <w:sz w:val="24"/>
          <w:szCs w:val="24"/>
          <w:lang w:val="en-US" w:eastAsia="zh-CN"/>
        </w:rPr>
      </w:pPr>
    </w:p>
    <w:p>
      <w:pPr>
        <w:widowControl w:val="0"/>
        <w:numPr>
          <w:ilvl w:val="0"/>
          <w:numId w:val="0"/>
        </w:numPr>
        <w:spacing w:line="360" w:lineRule="auto"/>
        <w:jc w:val="left"/>
        <w:rPr>
          <w:rFonts w:hint="default" w:asciiTheme="minorEastAsia" w:hAnsiTheme="minorEastAsia" w:cstheme="minorEastAsia"/>
          <w:b w:val="0"/>
          <w:bCs w:val="0"/>
          <w:sz w:val="24"/>
          <w:szCs w:val="24"/>
          <w:lang w:val="en-US" w:eastAsia="zh-CN"/>
        </w:rPr>
      </w:pPr>
      <w:bookmarkStart w:id="0" w:name="_GoBack"/>
      <w:bookmarkEnd w:id="0"/>
    </w:p>
    <w:p>
      <w:pPr>
        <w:widowControl w:val="0"/>
        <w:numPr>
          <w:ilvl w:val="0"/>
          <w:numId w:val="0"/>
        </w:numPr>
        <w:spacing w:line="360" w:lineRule="auto"/>
        <w:jc w:val="left"/>
        <w:rPr>
          <w:rFonts w:hint="default" w:asciiTheme="minorEastAsia" w:hAnsiTheme="minorEastAsia" w:cstheme="minorEastAsia"/>
          <w:b w:val="0"/>
          <w:bCs w:val="0"/>
          <w:sz w:val="24"/>
          <w:szCs w:val="24"/>
          <w:lang w:val="en-US" w:eastAsia="zh-CN"/>
        </w:rPr>
      </w:pPr>
    </w:p>
    <w:p>
      <w:pPr>
        <w:jc w:val="both"/>
        <w:rPr>
          <w:sz w:val="36"/>
          <w:szCs w:val="36"/>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sz w:val="32"/>
          <w:szCs w:val="32"/>
        </w:rPr>
      </w:pPr>
      <w:r>
        <w:rPr>
          <w:sz w:val="32"/>
          <w:szCs w:val="32"/>
        </w:rPr>
        <w:t>重庆博杰能源有限公司</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sz w:val="36"/>
          <w:szCs w:val="36"/>
        </w:rPr>
      </w:pPr>
      <w:r>
        <w:rPr>
          <w:rFonts w:hint="eastAsia"/>
          <w:sz w:val="32"/>
          <w:szCs w:val="32"/>
        </w:rPr>
        <w:t>液化天然气</w:t>
      </w:r>
      <w:r>
        <w:rPr>
          <w:rFonts w:hint="eastAsia"/>
          <w:sz w:val="32"/>
          <w:szCs w:val="32"/>
          <w:lang w:eastAsia="zh-CN"/>
        </w:rPr>
        <w:t>（</w:t>
      </w:r>
      <w:r>
        <w:rPr>
          <w:rFonts w:hint="eastAsia"/>
          <w:sz w:val="32"/>
          <w:szCs w:val="32"/>
        </w:rPr>
        <w:t>LNG</w:t>
      </w:r>
      <w:r>
        <w:rPr>
          <w:rFonts w:hint="eastAsia"/>
          <w:sz w:val="32"/>
          <w:szCs w:val="32"/>
          <w:lang w:eastAsia="zh-CN"/>
        </w:rPr>
        <w:t>）</w:t>
      </w:r>
      <w:r>
        <w:rPr>
          <w:rFonts w:hint="eastAsia"/>
          <w:sz w:val="32"/>
          <w:szCs w:val="32"/>
        </w:rPr>
        <w:t>运输协议</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sz w:val="24"/>
          <w:szCs w:val="24"/>
        </w:rPr>
      </w:pPr>
      <w:r>
        <w:rPr>
          <w:rFonts w:hint="eastAsia"/>
          <w:sz w:val="24"/>
          <w:szCs w:val="24"/>
        </w:rPr>
        <w:t>生产企业：重庆博杰能源有限公司（以下简称甲方）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sz w:val="24"/>
          <w:szCs w:val="24"/>
        </w:rPr>
      </w:pPr>
      <w:r>
        <w:rPr>
          <w:rFonts w:hint="eastAsia"/>
          <w:sz w:val="24"/>
          <w:szCs w:val="24"/>
        </w:rPr>
        <w:t>地址：重庆市垫江县澄溪镇工业园区</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sz w:val="24"/>
          <w:szCs w:val="24"/>
        </w:rPr>
      </w:pPr>
      <w:r>
        <w:rPr>
          <w:rFonts w:hint="eastAsia"/>
          <w:sz w:val="24"/>
          <w:szCs w:val="24"/>
        </w:rPr>
        <w:t>联系人：易大清            联系电话：13983305773</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sz w:val="24"/>
          <w:szCs w:val="24"/>
        </w:rPr>
      </w:pPr>
      <w:r>
        <w:rPr>
          <w:rFonts w:hint="eastAsia"/>
          <w:sz w:val="24"/>
          <w:szCs w:val="24"/>
        </w:rPr>
        <w:t>第三方物流公司：</w:t>
      </w:r>
      <w:r>
        <w:rPr>
          <w:rFonts w:hint="eastAsia"/>
          <w:sz w:val="24"/>
          <w:szCs w:val="24"/>
          <w:u w:val="single"/>
          <w:lang w:val="en-US" w:eastAsia="zh-CN"/>
        </w:rPr>
        <w:t xml:space="preserve">               </w:t>
      </w:r>
      <w:r>
        <w:rPr>
          <w:rFonts w:hint="eastAsia"/>
          <w:sz w:val="24"/>
          <w:szCs w:val="24"/>
        </w:rPr>
        <w:t>（以下简称乙方）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sz w:val="24"/>
          <w:szCs w:val="24"/>
        </w:rPr>
      </w:pPr>
      <w:r>
        <w:rPr>
          <w:rFonts w:hint="eastAsia"/>
          <w:sz w:val="24"/>
          <w:szCs w:val="24"/>
        </w:rPr>
        <w:t xml:space="preserve">联系人：              </w:t>
      </w:r>
      <w:r>
        <w:rPr>
          <w:rFonts w:hint="eastAsia"/>
          <w:sz w:val="24"/>
          <w:szCs w:val="24"/>
          <w:lang w:val="en-US" w:eastAsia="zh-CN"/>
        </w:rPr>
        <w:t xml:space="preserve">    </w:t>
      </w:r>
      <w:r>
        <w:rPr>
          <w:rFonts w:hint="eastAsia"/>
          <w:sz w:val="24"/>
          <w:szCs w:val="24"/>
        </w:rPr>
        <w:t>联系电话：</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rFonts w:hint="eastAsia"/>
          <w:sz w:val="24"/>
          <w:szCs w:val="24"/>
        </w:rPr>
        <w:t>甲方为了生产经营的需要，依照国家相关法律、法规，通过招标形式，乙方取得第三方运输资质。甲乙双方在平等、自愿、双赢的基础上，订立本协议，以便共同遵守。</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rFonts w:hint="eastAsia"/>
          <w:sz w:val="24"/>
          <w:szCs w:val="24"/>
        </w:rPr>
        <w:t>第一条 货物名称、数量</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rFonts w:hint="eastAsia"/>
          <w:sz w:val="24"/>
          <w:szCs w:val="24"/>
        </w:rPr>
        <w:t>1、货物名称：LNG液化天然气</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rFonts w:hint="eastAsia"/>
          <w:sz w:val="24"/>
          <w:szCs w:val="24"/>
        </w:rPr>
        <w:t>2、结算数量：以LNG液化天然气货物接受单位磅单为准。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rFonts w:hint="eastAsia"/>
          <w:sz w:val="24"/>
          <w:szCs w:val="24"/>
        </w:rPr>
        <w:t>第二条 货物起运及到达地点</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rFonts w:hint="eastAsia"/>
          <w:sz w:val="24"/>
          <w:szCs w:val="24"/>
        </w:rPr>
        <w:t>1、货物起运地：甲方生产地（垫江县澄溪镇工业园区）或甲方指定地点。</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rFonts w:hint="eastAsia"/>
          <w:sz w:val="24"/>
          <w:szCs w:val="24"/>
        </w:rPr>
        <w:t>2、货物到达地点：以甲方需求为准，运费按实际情况结算。若因乙方运输设备出现货物的跑、冒、滴，乙方负责赔偿甲方损失。</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rFonts w:hint="eastAsia"/>
          <w:sz w:val="24"/>
          <w:szCs w:val="24"/>
        </w:rPr>
        <w:t>第三条 货物运输日期及到达期限</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rFonts w:hint="eastAsia"/>
          <w:sz w:val="24"/>
          <w:szCs w:val="24"/>
        </w:rPr>
        <w:t>1、货物运输日期：以甲方通知为准，按要求及时调度车辆。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rFonts w:hint="eastAsia"/>
          <w:sz w:val="24"/>
          <w:szCs w:val="24"/>
        </w:rPr>
        <w:t>2、货物到达期限：按甲方规定的时间为到达期限。</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sz w:val="24"/>
          <w:szCs w:val="24"/>
        </w:rPr>
      </w:pPr>
      <w:r>
        <w:rPr>
          <w:rFonts w:hint="eastAsia"/>
          <w:sz w:val="24"/>
          <w:szCs w:val="24"/>
        </w:rPr>
        <w:t>第四条 运输方式及质量要求</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rFonts w:hint="eastAsia"/>
          <w:sz w:val="24"/>
          <w:szCs w:val="24"/>
        </w:rPr>
        <w:t>1、运输方式：符合交通部规定的危险化学品货物运输车辆。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rFonts w:hint="eastAsia"/>
          <w:sz w:val="24"/>
          <w:szCs w:val="24"/>
        </w:rPr>
        <w:t>2、运输质量要求：</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rFonts w:hint="eastAsia"/>
          <w:sz w:val="24"/>
          <w:szCs w:val="24"/>
        </w:rPr>
        <w:t>①危险品专用车辆技术等级达到行业标准《营运车辆技术等级划分和评定要求》。</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rFonts w:hint="eastAsia"/>
          <w:sz w:val="24"/>
          <w:szCs w:val="24"/>
        </w:rPr>
        <w:t>②危险品专用车辆需安装GPS定位装置。</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rFonts w:hint="eastAsia"/>
          <w:sz w:val="24"/>
          <w:szCs w:val="24"/>
        </w:rPr>
        <w:t>③专用车辆必须按行业规定定期的审验、二级维护等，并在出车时随车携带车辆所有有效证、照。</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rFonts w:hint="eastAsia"/>
          <w:sz w:val="24"/>
          <w:szCs w:val="24"/>
        </w:rPr>
        <w:t>④乙方在执行整个运输过程中，除驾驶人员外，专用车辆上应当另外配备押运人员，其应随身携带从业资格证，并对运输全过程进行监管。</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rFonts w:hint="eastAsia"/>
          <w:sz w:val="24"/>
          <w:szCs w:val="24"/>
        </w:rPr>
        <w:t>⑤乙方运输车辆及人员到达甲方时，甲方有权对其进行检查。</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rFonts w:hint="eastAsia"/>
          <w:sz w:val="24"/>
          <w:szCs w:val="24"/>
        </w:rPr>
        <w:t>⑥乙方须确保运输途中的货物数量质量，如造成货物灭失、短少、变质、损毁等，乙方需承担全部赔偿责任。</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rFonts w:hint="eastAsia"/>
          <w:sz w:val="24"/>
          <w:szCs w:val="24"/>
        </w:rPr>
        <w:t>⑦若因运输设施设备及人员资质达不到国家相关标准及要求，出现的一切问题，由乙方自行负责。</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sz w:val="24"/>
          <w:szCs w:val="24"/>
        </w:rPr>
        <w:t>第五条</w:t>
      </w:r>
      <w:r>
        <w:rPr>
          <w:rFonts w:hint="eastAsia"/>
          <w:sz w:val="24"/>
          <w:szCs w:val="24"/>
        </w:rPr>
        <w:t xml:space="preserve"> 保险及风险转移</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rFonts w:hint="eastAsia"/>
          <w:sz w:val="24"/>
          <w:szCs w:val="24"/>
        </w:rPr>
        <w:t>1、乙方在执行运输任务前，必须购买车辆、三者、货物及押运人身保险。（双方约定：每单车三者</w:t>
      </w:r>
      <w:r>
        <w:rPr>
          <w:rFonts w:hint="eastAsia"/>
          <w:sz w:val="24"/>
          <w:szCs w:val="24"/>
          <w:lang w:val="en-US" w:eastAsia="zh-CN"/>
        </w:rPr>
        <w:t>2</w:t>
      </w:r>
      <w:r>
        <w:rPr>
          <w:rFonts w:hint="eastAsia"/>
          <w:sz w:val="24"/>
          <w:szCs w:val="24"/>
        </w:rPr>
        <w:t>00万、货物10万、驾押乘坐每座5万，另保人身意外险，车损80万）</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rFonts w:hint="eastAsia"/>
          <w:sz w:val="24"/>
          <w:szCs w:val="24"/>
        </w:rPr>
        <w:t>2、乙方在执行运输任务中的一切安全事故自行承担。</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rFonts w:hint="eastAsia"/>
          <w:sz w:val="24"/>
          <w:szCs w:val="24"/>
        </w:rPr>
        <w:t>3、乙方在运输过程中若发生交通安全事故，乙方必须保护好现场，在第一时间通知事故发生地的交警、所投保险的公司出现场，并及时通知甲方，对造成的货物损失由乙方全额赔偿。</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rFonts w:hint="eastAsia"/>
          <w:sz w:val="24"/>
          <w:szCs w:val="24"/>
        </w:rPr>
        <w:t>4、驾驶员、押运员的劳动用工及人身安全由乙方自行负责。</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sz w:val="24"/>
          <w:szCs w:val="24"/>
        </w:rPr>
      </w:pPr>
      <w:r>
        <w:rPr>
          <w:rFonts w:hint="eastAsia"/>
          <w:sz w:val="24"/>
          <w:szCs w:val="24"/>
        </w:rPr>
        <w:t>第六条 履约保证金</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eastAsiaTheme="minorEastAsia"/>
          <w:sz w:val="24"/>
          <w:szCs w:val="24"/>
          <w:lang w:eastAsia="zh-CN"/>
        </w:rPr>
      </w:pPr>
      <w:r>
        <w:rPr>
          <w:rFonts w:hint="eastAsia"/>
          <w:sz w:val="24"/>
          <w:szCs w:val="24"/>
        </w:rPr>
        <w:t>经甲乙双方共同协商，</w:t>
      </w:r>
      <w:r>
        <w:rPr>
          <w:rFonts w:hint="eastAsia"/>
          <w:sz w:val="24"/>
          <w:szCs w:val="24"/>
          <w:lang w:eastAsia="zh-CN"/>
        </w:rPr>
        <w:t>签订运输协议时</w:t>
      </w:r>
      <w:r>
        <w:rPr>
          <w:rFonts w:hint="eastAsia"/>
          <w:sz w:val="24"/>
          <w:szCs w:val="24"/>
        </w:rPr>
        <w:t>乙方</w:t>
      </w:r>
      <w:r>
        <w:rPr>
          <w:rFonts w:hint="eastAsia"/>
          <w:sz w:val="24"/>
          <w:szCs w:val="24"/>
          <w:lang w:eastAsia="zh-CN"/>
        </w:rPr>
        <w:t>一次性</w:t>
      </w:r>
      <w:r>
        <w:rPr>
          <w:rFonts w:hint="eastAsia"/>
          <w:sz w:val="24"/>
          <w:szCs w:val="24"/>
        </w:rPr>
        <w:t>向甲方缴纳履约保证金</w:t>
      </w:r>
      <w:r>
        <w:rPr>
          <w:rFonts w:hint="eastAsia"/>
          <w:sz w:val="24"/>
          <w:szCs w:val="24"/>
          <w:lang w:val="en-US" w:eastAsia="zh-CN"/>
        </w:rPr>
        <w:t>2000.00元/台（大写：每台</w:t>
      </w:r>
      <w:r>
        <w:rPr>
          <w:rFonts w:hint="eastAsia"/>
          <w:sz w:val="24"/>
          <w:szCs w:val="24"/>
          <w:lang w:eastAsia="zh-CN"/>
        </w:rPr>
        <w:t>贰仟</w:t>
      </w:r>
      <w:r>
        <w:rPr>
          <w:rFonts w:hint="eastAsia"/>
          <w:sz w:val="24"/>
          <w:szCs w:val="24"/>
        </w:rPr>
        <w:t>元</w:t>
      </w:r>
      <w:r>
        <w:rPr>
          <w:rFonts w:hint="eastAsia"/>
          <w:sz w:val="24"/>
          <w:szCs w:val="24"/>
          <w:lang w:eastAsia="zh-CN"/>
        </w:rPr>
        <w:t>整），</w:t>
      </w:r>
      <w:r>
        <w:rPr>
          <w:rFonts w:hint="eastAsia"/>
          <w:sz w:val="24"/>
          <w:szCs w:val="24"/>
        </w:rPr>
        <w:t>履约保证金不计利息，若乙方在协议有效期内违约</w:t>
      </w:r>
      <w:r>
        <w:rPr>
          <w:rFonts w:hint="eastAsia"/>
          <w:sz w:val="24"/>
          <w:szCs w:val="24"/>
          <w:lang w:eastAsia="zh-CN"/>
        </w:rPr>
        <w:t>不予退还。</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rFonts w:hint="eastAsia"/>
          <w:sz w:val="24"/>
          <w:szCs w:val="24"/>
        </w:rPr>
        <w:t>第七条 验收</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rFonts w:hint="eastAsia"/>
          <w:sz w:val="24"/>
          <w:szCs w:val="24"/>
        </w:rPr>
        <w:t>乙方的车辆（槽罐车）到达甲方指定地点后，由接收单位安排人员进行验收并按接收单位要求及时卸货，并将货物质量数量接收信息及时反馈回甲方。</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rFonts w:hint="eastAsia"/>
          <w:sz w:val="24"/>
          <w:szCs w:val="24"/>
        </w:rPr>
        <w:t>第八条 运输价格及运输费用结算</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rFonts w:hint="eastAsia"/>
          <w:sz w:val="24"/>
          <w:szCs w:val="24"/>
        </w:rPr>
        <w:t>1、甲乙双方</w:t>
      </w:r>
      <w:r>
        <w:rPr>
          <w:rFonts w:hint="eastAsia"/>
          <w:sz w:val="24"/>
          <w:szCs w:val="24"/>
          <w:lang w:eastAsia="zh-CN"/>
        </w:rPr>
        <w:t>根据市场行情</w:t>
      </w:r>
      <w:r>
        <w:rPr>
          <w:rFonts w:hint="eastAsia"/>
          <w:sz w:val="24"/>
          <w:szCs w:val="24"/>
        </w:rPr>
        <w:t>确定运输价格，运输费用按LNG液化天然气运输距离和重量进行结算。</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rFonts w:hint="eastAsia"/>
          <w:sz w:val="24"/>
          <w:szCs w:val="24"/>
        </w:rPr>
        <w:t>2、计算方式：按照结算期实际运输吨位×单价×运距结算，由乙方开具公路货物运输增值税专用发票，每月以现金结算，开具发票税金由乙方承担。</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rFonts w:hint="eastAsia"/>
          <w:sz w:val="24"/>
          <w:szCs w:val="24"/>
        </w:rPr>
        <w:t>第九条 货物灌装、运输时间要求</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rFonts w:hint="eastAsia"/>
          <w:sz w:val="24"/>
          <w:szCs w:val="24"/>
        </w:rPr>
        <w:t>甲方必须保证为乙方提供LNG液化天然气灌装便利，根据车辆容量安全要求灌装，并不得收取任何费用；乙方必须在第一时间按时按量按甲方指定单位（地点）运输到位。</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rFonts w:hint="eastAsia"/>
          <w:sz w:val="24"/>
          <w:szCs w:val="24"/>
        </w:rPr>
        <w:t>第十条 违约责任</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rFonts w:hint="eastAsia"/>
          <w:sz w:val="24"/>
          <w:szCs w:val="24"/>
        </w:rPr>
        <w:t>1、乙方自行承担因其违反国家及地方道路交通法规、运输车辆管理法规等原因和交通事故导致的一切直接损失。</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rFonts w:hint="eastAsia"/>
          <w:sz w:val="24"/>
          <w:szCs w:val="24"/>
        </w:rPr>
        <w:t>2、协议中任何一方违约，另一方有权根据《中华人民共和国</w:t>
      </w:r>
      <w:r>
        <w:rPr>
          <w:rFonts w:hint="eastAsia"/>
          <w:sz w:val="24"/>
          <w:szCs w:val="24"/>
          <w:lang w:eastAsia="zh-CN"/>
        </w:rPr>
        <w:t>民</w:t>
      </w:r>
      <w:r>
        <w:rPr>
          <w:rFonts w:hint="eastAsia"/>
          <w:sz w:val="24"/>
          <w:szCs w:val="24"/>
        </w:rPr>
        <w:t>法</w:t>
      </w:r>
      <w:r>
        <w:rPr>
          <w:rFonts w:hint="eastAsia"/>
          <w:sz w:val="24"/>
          <w:szCs w:val="24"/>
          <w:lang w:eastAsia="zh-CN"/>
        </w:rPr>
        <w:t>典</w:t>
      </w:r>
      <w:r>
        <w:rPr>
          <w:rFonts w:hint="eastAsia"/>
          <w:sz w:val="24"/>
          <w:szCs w:val="24"/>
        </w:rPr>
        <w:t>》的相关规定，要求违约方承担相应的违约责任。</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rFonts w:hint="eastAsia"/>
          <w:sz w:val="24"/>
          <w:szCs w:val="24"/>
        </w:rPr>
        <w:t>3、乙方车辆大修和按危险品车辆运输要求定期检测、交通事故等非乙方主观原因导致乙方不能履约，乙方需提前3天通知甲方，甲方不得以任何形式要求乙方赔偿。</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rFonts w:hint="eastAsia"/>
          <w:sz w:val="24"/>
          <w:szCs w:val="24"/>
        </w:rPr>
        <w:t>4、若甲方因停产不能履约时，乙方不得以任何形式要求甲方赔偿。</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rFonts w:hint="eastAsia"/>
          <w:sz w:val="24"/>
          <w:szCs w:val="24"/>
        </w:rPr>
        <w:t>第十一条 解决协议纠纷的方式</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rFonts w:hint="eastAsia"/>
          <w:sz w:val="24"/>
          <w:szCs w:val="24"/>
        </w:rPr>
        <w:t>协议在履行中，双方若发生争议，协商解决，若协商未果，提交甲方所在地人民法院诉讼解决。</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rFonts w:hint="eastAsia"/>
          <w:sz w:val="24"/>
          <w:szCs w:val="24"/>
        </w:rPr>
        <w:t>第十二条 不可抗力</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rFonts w:hint="eastAsia"/>
          <w:sz w:val="24"/>
          <w:szCs w:val="24"/>
        </w:rPr>
        <w:t>由于地震、水灾、战争以及其他不能预见、不能避免及不能克服的不可抗力的事件，致使协议的一方无法全部或部分履行协议中规定的责任，发生不可抗力的一方应在不可抗力发生后及时通知另一方，并在事件发生后15天内向另一方提供合法有效的事件发生地主管机构出具的不可抗力发生及其影响的证明书，发生不可抗力的一方据此可以依法免除对方违约责任。</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rFonts w:hint="eastAsia"/>
          <w:sz w:val="24"/>
          <w:szCs w:val="24"/>
        </w:rPr>
        <w:t>第十三条 协议有效期</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rFonts w:hint="eastAsia"/>
          <w:sz w:val="24"/>
          <w:szCs w:val="24"/>
        </w:rPr>
        <w:t>本协议有效期从新车注册登记日期起至车辆报废日期止。</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rFonts w:hint="eastAsia"/>
          <w:sz w:val="24"/>
          <w:szCs w:val="24"/>
        </w:rPr>
        <w:t>第十四条 其他约定事项</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rFonts w:hint="eastAsia"/>
          <w:sz w:val="24"/>
          <w:szCs w:val="24"/>
        </w:rPr>
        <w:t>1、签订本</w:t>
      </w:r>
      <w:r>
        <w:rPr>
          <w:rFonts w:hint="eastAsia"/>
          <w:sz w:val="24"/>
          <w:szCs w:val="24"/>
          <w:lang w:eastAsia="zh-CN"/>
        </w:rPr>
        <w:t>协议</w:t>
      </w:r>
      <w:r>
        <w:rPr>
          <w:rFonts w:hint="eastAsia"/>
          <w:sz w:val="24"/>
          <w:szCs w:val="24"/>
        </w:rPr>
        <w:t>的同时乙方需提交车籍所在单位的营业执照、企业危险品营运资质、车辆行驶证营运证保险单、驾驶员驾驶证、押运员危险品从业资格证、身份证等，并保证其真实性，若乙方提供的证件失实，乙方承担全部责任。</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rFonts w:hint="eastAsia"/>
          <w:sz w:val="24"/>
          <w:szCs w:val="24"/>
        </w:rPr>
        <w:t>2</w:t>
      </w:r>
      <w:r>
        <w:rPr>
          <w:rFonts w:hint="eastAsia"/>
          <w:sz w:val="24"/>
          <w:szCs w:val="24"/>
          <w:lang w:eastAsia="zh-CN"/>
        </w:rPr>
        <w:t>、</w:t>
      </w:r>
      <w:r>
        <w:rPr>
          <w:rFonts w:hint="eastAsia"/>
          <w:sz w:val="24"/>
          <w:szCs w:val="24"/>
        </w:rPr>
        <w:t>运力投放数量由</w:t>
      </w:r>
      <w:r>
        <w:rPr>
          <w:rFonts w:hint="eastAsia"/>
          <w:sz w:val="24"/>
          <w:szCs w:val="24"/>
          <w:lang w:eastAsia="zh-CN"/>
        </w:rPr>
        <w:t>双方协商</w:t>
      </w:r>
      <w:r>
        <w:rPr>
          <w:rFonts w:hint="eastAsia"/>
          <w:sz w:val="24"/>
          <w:szCs w:val="24"/>
        </w:rPr>
        <w:t>确定，当乙方车辆不能满足甲方运输需求或乙方无法履约时，甲方有权</w:t>
      </w:r>
      <w:r>
        <w:rPr>
          <w:rFonts w:hint="eastAsia"/>
          <w:sz w:val="24"/>
          <w:szCs w:val="24"/>
          <w:lang w:eastAsia="zh-CN"/>
        </w:rPr>
        <w:t>另行组织车辆</w:t>
      </w:r>
      <w:r>
        <w:rPr>
          <w:rFonts w:hint="eastAsia"/>
          <w:sz w:val="24"/>
          <w:szCs w:val="24"/>
        </w:rPr>
        <w:t>运输，并不视为违约。</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rFonts w:hint="eastAsia"/>
          <w:sz w:val="24"/>
          <w:szCs w:val="24"/>
        </w:rPr>
        <w:t>3、甲方有权根据企业经营发展的需要自行投放运力组织运输。</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sz w:val="24"/>
          <w:szCs w:val="24"/>
        </w:rPr>
      </w:pPr>
      <w:r>
        <w:rPr>
          <w:sz w:val="24"/>
          <w:szCs w:val="24"/>
        </w:rPr>
        <w:t>第十五条</w:t>
      </w:r>
      <w:r>
        <w:rPr>
          <w:rFonts w:hint="eastAsia"/>
          <w:sz w:val="24"/>
          <w:szCs w:val="24"/>
        </w:rPr>
        <w:t xml:space="preserve"> 本协议一式四份，甲乙双方各执</w:t>
      </w:r>
      <w:r>
        <w:rPr>
          <w:rFonts w:hint="eastAsia"/>
          <w:sz w:val="24"/>
          <w:szCs w:val="24"/>
          <w:lang w:eastAsia="zh-CN"/>
        </w:rPr>
        <w:t>二</w:t>
      </w:r>
      <w:r>
        <w:rPr>
          <w:rFonts w:hint="eastAsia"/>
          <w:sz w:val="24"/>
          <w:szCs w:val="24"/>
        </w:rPr>
        <w:t>份，由双方签章生效。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sz w:val="24"/>
          <w:szCs w:val="24"/>
        </w:rPr>
      </w:pPr>
      <w:r>
        <w:rPr>
          <w:rFonts w:hint="eastAsia"/>
          <w:sz w:val="24"/>
          <w:szCs w:val="24"/>
        </w:rPr>
        <w:t>甲方：                                乙方：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sz w:val="24"/>
          <w:szCs w:val="24"/>
        </w:rPr>
      </w:pPr>
      <w:r>
        <w:rPr>
          <w:rFonts w:hint="eastAsia"/>
          <w:sz w:val="24"/>
          <w:szCs w:val="24"/>
        </w:rPr>
        <w:t>授权代表：                            授权代表：</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sz w:val="24"/>
          <w:szCs w:val="24"/>
          <w:lang w:val="en-US" w:eastAsia="zh-CN"/>
        </w:rPr>
      </w:pPr>
      <w:r>
        <w:rPr>
          <w:rFonts w:hint="eastAsia"/>
          <w:sz w:val="24"/>
          <w:szCs w:val="24"/>
        </w:rPr>
        <w:t xml:space="preserve">                </w:t>
      </w:r>
      <w:r>
        <w:rPr>
          <w:rFonts w:hint="eastAsia"/>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5280" w:firstLineChars="2200"/>
        <w:textAlignment w:val="auto"/>
        <w:rPr>
          <w:rFonts w:hint="default"/>
          <w:sz w:val="28"/>
          <w:szCs w:val="28"/>
          <w:lang w:val="en-US" w:eastAsia="zh-CN"/>
        </w:rPr>
      </w:pPr>
      <w:r>
        <w:rPr>
          <w:rFonts w:hint="eastAsia"/>
          <w:sz w:val="24"/>
          <w:szCs w:val="24"/>
          <w:lang w:val="en-US" w:eastAsia="zh-CN"/>
        </w:rPr>
        <w:t xml:space="preserve">   </w:t>
      </w:r>
      <w:r>
        <w:rPr>
          <w:rFonts w:hint="eastAsia"/>
          <w:sz w:val="24"/>
          <w:szCs w:val="24"/>
        </w:rPr>
        <w:t>20</w:t>
      </w:r>
      <w:r>
        <w:rPr>
          <w:rFonts w:hint="eastAsia"/>
          <w:sz w:val="24"/>
          <w:szCs w:val="24"/>
          <w:lang w:val="en-US" w:eastAsia="zh-CN"/>
        </w:rPr>
        <w:t>23</w:t>
      </w:r>
      <w:r>
        <w:rPr>
          <w:rFonts w:hint="eastAsia"/>
          <w:sz w:val="24"/>
          <w:szCs w:val="24"/>
        </w:rPr>
        <w:t>年</w:t>
      </w:r>
      <w:r>
        <w:rPr>
          <w:rFonts w:hint="eastAsia"/>
          <w:sz w:val="24"/>
          <w:szCs w:val="24"/>
          <w:lang w:val="en-US" w:eastAsia="zh-CN"/>
        </w:rPr>
        <w:t>8</w:t>
      </w:r>
      <w:r>
        <w:rPr>
          <w:rFonts w:hint="eastAsia"/>
          <w:sz w:val="24"/>
          <w:szCs w:val="24"/>
        </w:rPr>
        <w:t>月</w:t>
      </w:r>
      <w:r>
        <w:rPr>
          <w:rFonts w:hint="eastAsia"/>
          <w:sz w:val="24"/>
          <w:szCs w:val="24"/>
          <w:lang w:val="en-US" w:eastAsia="zh-CN"/>
        </w:rPr>
        <w:t xml:space="preserve">  </w:t>
      </w:r>
      <w:r>
        <w:rPr>
          <w:rFonts w:hint="eastAsia"/>
          <w:sz w:val="24"/>
          <w:szCs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A57E06"/>
    <w:multiLevelType w:val="singleLevel"/>
    <w:tmpl w:val="83A57E06"/>
    <w:lvl w:ilvl="0" w:tentative="0">
      <w:start w:val="1"/>
      <w:numFmt w:val="chineseCounting"/>
      <w:suff w:val="nothing"/>
      <w:lvlText w:val="（%1）"/>
      <w:lvlJc w:val="left"/>
      <w:rPr>
        <w:rFonts w:hint="eastAsia"/>
      </w:rPr>
    </w:lvl>
  </w:abstractNum>
  <w:abstractNum w:abstractNumId="1">
    <w:nsid w:val="8599E0BE"/>
    <w:multiLevelType w:val="singleLevel"/>
    <w:tmpl w:val="8599E0BE"/>
    <w:lvl w:ilvl="0" w:tentative="0">
      <w:start w:val="1"/>
      <w:numFmt w:val="decimal"/>
      <w:suff w:val="nothing"/>
      <w:lvlText w:val="%1、"/>
      <w:lvlJc w:val="left"/>
      <w:pPr>
        <w:ind w:left="440" w:leftChars="0" w:firstLine="0" w:firstLineChars="0"/>
      </w:pPr>
    </w:lvl>
  </w:abstractNum>
  <w:abstractNum w:abstractNumId="2">
    <w:nsid w:val="B4F00DFF"/>
    <w:multiLevelType w:val="singleLevel"/>
    <w:tmpl w:val="B4F00DFF"/>
    <w:lvl w:ilvl="0" w:tentative="0">
      <w:start w:val="1"/>
      <w:numFmt w:val="decimal"/>
      <w:suff w:val="nothing"/>
      <w:lvlText w:val="%1、"/>
      <w:lvlJc w:val="left"/>
      <w:pPr>
        <w:ind w:left="480" w:leftChars="0" w:firstLine="0" w:firstLineChars="0"/>
      </w:pPr>
    </w:lvl>
  </w:abstractNum>
  <w:abstractNum w:abstractNumId="3">
    <w:nsid w:val="BA0520D0"/>
    <w:multiLevelType w:val="singleLevel"/>
    <w:tmpl w:val="BA0520D0"/>
    <w:lvl w:ilvl="0" w:tentative="0">
      <w:start w:val="1"/>
      <w:numFmt w:val="decimal"/>
      <w:suff w:val="nothing"/>
      <w:lvlText w:val="%1）"/>
      <w:lvlJc w:val="left"/>
    </w:lvl>
  </w:abstractNum>
  <w:abstractNum w:abstractNumId="4">
    <w:nsid w:val="F3341A74"/>
    <w:multiLevelType w:val="singleLevel"/>
    <w:tmpl w:val="F3341A74"/>
    <w:lvl w:ilvl="0" w:tentative="0">
      <w:start w:val="1"/>
      <w:numFmt w:val="decimal"/>
      <w:suff w:val="nothing"/>
      <w:lvlText w:val="%1、"/>
      <w:lvlJc w:val="left"/>
      <w:pPr>
        <w:ind w:left="600" w:leftChars="0" w:firstLine="0" w:firstLineChars="0"/>
      </w:pPr>
    </w:lvl>
  </w:abstractNum>
  <w:abstractNum w:abstractNumId="5">
    <w:nsid w:val="15ABD8F4"/>
    <w:multiLevelType w:val="singleLevel"/>
    <w:tmpl w:val="15ABD8F4"/>
    <w:lvl w:ilvl="0" w:tentative="0">
      <w:start w:val="1"/>
      <w:numFmt w:val="decimal"/>
      <w:suff w:val="nothing"/>
      <w:lvlText w:val="%1、"/>
      <w:lvlJc w:val="left"/>
    </w:lvl>
  </w:abstractNum>
  <w:abstractNum w:abstractNumId="6">
    <w:nsid w:val="2D73E547"/>
    <w:multiLevelType w:val="singleLevel"/>
    <w:tmpl w:val="2D73E547"/>
    <w:lvl w:ilvl="0" w:tentative="0">
      <w:start w:val="1"/>
      <w:numFmt w:val="chineseCounting"/>
      <w:suff w:val="nothing"/>
      <w:lvlText w:val="%1、"/>
      <w:lvlJc w:val="left"/>
      <w:rPr>
        <w:rFonts w:hint="eastAsia"/>
      </w:rPr>
    </w:lvl>
  </w:abstractNum>
  <w:abstractNum w:abstractNumId="7">
    <w:nsid w:val="47003A37"/>
    <w:multiLevelType w:val="singleLevel"/>
    <w:tmpl w:val="47003A37"/>
    <w:lvl w:ilvl="0" w:tentative="0">
      <w:start w:val="1"/>
      <w:numFmt w:val="chineseCounting"/>
      <w:suff w:val="nothing"/>
      <w:lvlText w:val="%1、"/>
      <w:lvlJc w:val="left"/>
      <w:rPr>
        <w:rFonts w:hint="eastAsia"/>
      </w:rPr>
    </w:lvl>
  </w:abstractNum>
  <w:abstractNum w:abstractNumId="8">
    <w:nsid w:val="603154D1"/>
    <w:multiLevelType w:val="singleLevel"/>
    <w:tmpl w:val="603154D1"/>
    <w:lvl w:ilvl="0" w:tentative="0">
      <w:start w:val="1"/>
      <w:numFmt w:val="decimal"/>
      <w:suff w:val="nothing"/>
      <w:lvlText w:val="%1、"/>
      <w:lvlJc w:val="left"/>
    </w:lvl>
  </w:abstractNum>
  <w:num w:numId="1">
    <w:abstractNumId w:val="7"/>
  </w:num>
  <w:num w:numId="2">
    <w:abstractNumId w:val="6"/>
  </w:num>
  <w:num w:numId="3">
    <w:abstractNumId w:val="8"/>
  </w:num>
  <w:num w:numId="4">
    <w:abstractNumId w:val="3"/>
  </w:num>
  <w:num w:numId="5">
    <w:abstractNumId w:val="5"/>
  </w:num>
  <w:num w:numId="6">
    <w:abstractNumId w:val="0"/>
  </w:num>
  <w:num w:numId="7">
    <w:abstractNumId w:val="4"/>
  </w:num>
  <w:num w:numId="8">
    <w:abstractNumId w:val="1"/>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RjNGEzYzAyNjg0OTFjYzRkMGU2MTczY2Q3YmViMGIifQ=="/>
  </w:docVars>
  <w:rsids>
    <w:rsidRoot w:val="00000000"/>
    <w:rsid w:val="004D6899"/>
    <w:rsid w:val="032B09E8"/>
    <w:rsid w:val="03F8474D"/>
    <w:rsid w:val="05926128"/>
    <w:rsid w:val="070C3524"/>
    <w:rsid w:val="07593D76"/>
    <w:rsid w:val="0A1D6BCA"/>
    <w:rsid w:val="0A570314"/>
    <w:rsid w:val="0B5C2086"/>
    <w:rsid w:val="10F17061"/>
    <w:rsid w:val="110E3E23"/>
    <w:rsid w:val="11E00BE6"/>
    <w:rsid w:val="13EA7BBD"/>
    <w:rsid w:val="15FF3D3A"/>
    <w:rsid w:val="167A7865"/>
    <w:rsid w:val="17A32DEB"/>
    <w:rsid w:val="181D4953"/>
    <w:rsid w:val="187F3B68"/>
    <w:rsid w:val="1A846F04"/>
    <w:rsid w:val="1C6E7E6B"/>
    <w:rsid w:val="1DC563C2"/>
    <w:rsid w:val="1E14234D"/>
    <w:rsid w:val="20103A99"/>
    <w:rsid w:val="2181090C"/>
    <w:rsid w:val="227576A7"/>
    <w:rsid w:val="272D39C3"/>
    <w:rsid w:val="27DF1C1D"/>
    <w:rsid w:val="28B44E58"/>
    <w:rsid w:val="2C9F5E1F"/>
    <w:rsid w:val="2E9C43C4"/>
    <w:rsid w:val="30347DBD"/>
    <w:rsid w:val="319C292D"/>
    <w:rsid w:val="383438BF"/>
    <w:rsid w:val="38E62E20"/>
    <w:rsid w:val="3C2B4FD9"/>
    <w:rsid w:val="3C9708C1"/>
    <w:rsid w:val="3D820C29"/>
    <w:rsid w:val="40672358"/>
    <w:rsid w:val="43617533"/>
    <w:rsid w:val="438832FA"/>
    <w:rsid w:val="440700DA"/>
    <w:rsid w:val="46D149CF"/>
    <w:rsid w:val="4714323A"/>
    <w:rsid w:val="48AB11A1"/>
    <w:rsid w:val="48F071BE"/>
    <w:rsid w:val="4B5005B9"/>
    <w:rsid w:val="549E2395"/>
    <w:rsid w:val="54D651D3"/>
    <w:rsid w:val="557064A1"/>
    <w:rsid w:val="55CC1183"/>
    <w:rsid w:val="58DC7930"/>
    <w:rsid w:val="597B0EF6"/>
    <w:rsid w:val="5A6010E2"/>
    <w:rsid w:val="5ABC562A"/>
    <w:rsid w:val="5ACE32A8"/>
    <w:rsid w:val="5B637E94"/>
    <w:rsid w:val="5EE34A57"/>
    <w:rsid w:val="60760D65"/>
    <w:rsid w:val="61B641FC"/>
    <w:rsid w:val="64C00105"/>
    <w:rsid w:val="64CD45D0"/>
    <w:rsid w:val="653D3504"/>
    <w:rsid w:val="661E1616"/>
    <w:rsid w:val="669C06FE"/>
    <w:rsid w:val="68F91E38"/>
    <w:rsid w:val="69140A20"/>
    <w:rsid w:val="6B766D4C"/>
    <w:rsid w:val="6BAC405A"/>
    <w:rsid w:val="6C6E48EB"/>
    <w:rsid w:val="6CD00D49"/>
    <w:rsid w:val="6ED722D3"/>
    <w:rsid w:val="6F082DD5"/>
    <w:rsid w:val="70C95159"/>
    <w:rsid w:val="77642B72"/>
    <w:rsid w:val="776A7994"/>
    <w:rsid w:val="779104F2"/>
    <w:rsid w:val="78947487"/>
    <w:rsid w:val="78FF0DA4"/>
    <w:rsid w:val="7A1C14E2"/>
    <w:rsid w:val="7ACD37DB"/>
    <w:rsid w:val="7DFB45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4449</Words>
  <Characters>4616</Characters>
  <Lines>0</Lines>
  <Paragraphs>0</Paragraphs>
  <TotalTime>1</TotalTime>
  <ScaleCrop>false</ScaleCrop>
  <LinksUpToDate>false</LinksUpToDate>
  <CharactersWithSpaces>4989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2023-08-04T00:42:00Z</dcterms:created>
  <dc:creator>Administrator</dc:creator>
  <cp:lastModifiedBy>张耀</cp:lastModifiedBy>
  <dcterms:modified xsi:type="dcterms:W3CDTF">2023-08-22T08:50:26Z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38ECD69789154F34870D6337EDC7D2AA_13</vt:lpwstr>
  </property>
</Properties>
</file>